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943"/>
        <w:gridCol w:w="2079"/>
        <w:gridCol w:w="1182"/>
        <w:gridCol w:w="897"/>
        <w:gridCol w:w="2079"/>
      </w:tblGrid>
      <w:tr w:rsidR="000A563E" w:rsidRPr="00B87319" w14:paraId="34328B1E" w14:textId="77777777" w:rsidTr="00B87319">
        <w:tc>
          <w:tcPr>
            <w:tcW w:w="2943" w:type="dxa"/>
            <w:shd w:val="clear" w:color="auto" w:fill="B6DDE8" w:themeFill="accent5" w:themeFillTint="66"/>
          </w:tcPr>
          <w:p w14:paraId="5E2039DB" w14:textId="2EB16FA7" w:rsidR="000A563E" w:rsidRPr="00B87319" w:rsidRDefault="00B87319" w:rsidP="000A563E">
            <w:pPr>
              <w:rPr>
                <w:rFonts w:ascii="Arial" w:hAnsi="Arial" w:cs="Arial"/>
                <w:b/>
              </w:rPr>
            </w:pPr>
            <w:r w:rsidRPr="00B87319">
              <w:rPr>
                <w:rFonts w:ascii="Arial" w:hAnsi="Arial" w:cs="Arial"/>
                <w:b/>
              </w:rPr>
              <w:t>Post and Specialty</w:t>
            </w:r>
          </w:p>
        </w:tc>
        <w:tc>
          <w:tcPr>
            <w:tcW w:w="6237" w:type="dxa"/>
            <w:gridSpan w:val="4"/>
          </w:tcPr>
          <w:p w14:paraId="28C70676" w14:textId="3E8C2E3A" w:rsidR="00BD76EE" w:rsidRDefault="00BD76EE" w:rsidP="00BD76EE">
            <w:pPr>
              <w:rPr>
                <w:rFonts w:ascii="Arial" w:hAnsi="Arial" w:cs="Arial"/>
                <w:b/>
                <w:sz w:val="28"/>
                <w:szCs w:val="28"/>
              </w:rPr>
            </w:pPr>
            <w:r>
              <w:rPr>
                <w:rFonts w:ascii="Arial" w:hAnsi="Arial" w:cs="Arial"/>
                <w:b/>
                <w:sz w:val="28"/>
                <w:szCs w:val="28"/>
              </w:rPr>
              <w:t>Consultant psychiatrist in M</w:t>
            </w:r>
            <w:r w:rsidR="001A3A50">
              <w:rPr>
                <w:rFonts w:ascii="Arial" w:hAnsi="Arial" w:cs="Arial"/>
                <w:b/>
                <w:sz w:val="28"/>
                <w:szCs w:val="28"/>
              </w:rPr>
              <w:t xml:space="preserve">ental Health Services for Older People </w:t>
            </w:r>
          </w:p>
          <w:p w14:paraId="3552BF33" w14:textId="19D243B0" w:rsidR="008E0903" w:rsidRPr="001A3A50" w:rsidRDefault="00FA3A9C" w:rsidP="00BD76EE">
            <w:pPr>
              <w:rPr>
                <w:rFonts w:ascii="Arial" w:hAnsi="Arial" w:cs="Arial"/>
                <w:b/>
                <w:sz w:val="24"/>
                <w:szCs w:val="24"/>
              </w:rPr>
            </w:pPr>
            <w:r w:rsidRPr="001A3A50">
              <w:rPr>
                <w:rFonts w:ascii="Arial" w:hAnsi="Arial" w:cs="Arial"/>
                <w:b/>
                <w:sz w:val="24"/>
                <w:szCs w:val="24"/>
              </w:rPr>
              <w:t>South Leicestershire CMHT</w:t>
            </w:r>
          </w:p>
          <w:p w14:paraId="764FB80D" w14:textId="77777777" w:rsidR="00BD76EE" w:rsidRPr="006332C6" w:rsidRDefault="00BD76EE" w:rsidP="00BD76EE">
            <w:pPr>
              <w:rPr>
                <w:rFonts w:ascii="Arial" w:hAnsi="Arial" w:cs="Arial"/>
                <w:sz w:val="24"/>
                <w:szCs w:val="24"/>
              </w:rPr>
            </w:pPr>
          </w:p>
          <w:p w14:paraId="2918B709" w14:textId="2C6B1943" w:rsidR="000A563E" w:rsidRPr="00B87319" w:rsidRDefault="00BD76EE" w:rsidP="00655999">
            <w:pPr>
              <w:rPr>
                <w:rFonts w:ascii="Arial" w:hAnsi="Arial" w:cs="Arial"/>
              </w:rPr>
            </w:pPr>
            <w:r w:rsidRPr="006332C6">
              <w:rPr>
                <w:rFonts w:ascii="Arial" w:hAnsi="Arial" w:cs="Arial"/>
                <w:sz w:val="24"/>
                <w:szCs w:val="24"/>
              </w:rPr>
              <w:t xml:space="preserve">This post arises due to </w:t>
            </w:r>
            <w:r w:rsidRPr="00EC3613">
              <w:rPr>
                <w:rFonts w:ascii="Arial" w:hAnsi="Arial" w:cs="Arial"/>
                <w:sz w:val="24"/>
                <w:szCs w:val="24"/>
              </w:rPr>
              <w:t>retirement of current post holder</w:t>
            </w:r>
            <w:r w:rsidR="001A3A50">
              <w:rPr>
                <w:rFonts w:ascii="Arial" w:hAnsi="Arial" w:cs="Arial"/>
                <w:sz w:val="24"/>
                <w:szCs w:val="24"/>
              </w:rPr>
              <w:t xml:space="preserve"> and service development</w:t>
            </w:r>
          </w:p>
        </w:tc>
      </w:tr>
      <w:tr w:rsidR="00B87319" w:rsidRPr="00B87319" w14:paraId="1D867AD7" w14:textId="77777777" w:rsidTr="00B87319">
        <w:tc>
          <w:tcPr>
            <w:tcW w:w="2943" w:type="dxa"/>
            <w:shd w:val="clear" w:color="auto" w:fill="B6DDE8" w:themeFill="accent5" w:themeFillTint="66"/>
          </w:tcPr>
          <w:p w14:paraId="003B5C33" w14:textId="15364253" w:rsidR="00B87319" w:rsidRPr="00B87319" w:rsidRDefault="00B87319" w:rsidP="000A563E">
            <w:pPr>
              <w:rPr>
                <w:rFonts w:ascii="Arial" w:hAnsi="Arial" w:cs="Arial"/>
                <w:b/>
              </w:rPr>
            </w:pPr>
            <w:r w:rsidRPr="004C725C">
              <w:rPr>
                <w:rFonts w:ascii="Arial" w:hAnsi="Arial" w:cs="Arial"/>
                <w:b/>
                <w:color w:val="FF0000"/>
              </w:rPr>
              <w:t>Royal College of Psychiatrists approval details:</w:t>
            </w:r>
          </w:p>
        </w:tc>
        <w:tc>
          <w:tcPr>
            <w:tcW w:w="6237" w:type="dxa"/>
            <w:gridSpan w:val="4"/>
          </w:tcPr>
          <w:p w14:paraId="43D61F14" w14:textId="43577932" w:rsidR="00B87319" w:rsidRPr="00C37A4D" w:rsidRDefault="00B87319" w:rsidP="00C37A4D">
            <w:pPr>
              <w:spacing w:before="143"/>
              <w:rPr>
                <w:rFonts w:ascii="Montserrat" w:hAnsi="Montserrat" w:cs="Arial"/>
                <w:sz w:val="20"/>
                <w:szCs w:val="20"/>
              </w:rPr>
            </w:pPr>
            <w:r w:rsidRPr="00C37A4D">
              <w:rPr>
                <w:rFonts w:ascii="Montserrat" w:hAnsi="Montserrat" w:cs="Arial"/>
                <w:sz w:val="20"/>
                <w:szCs w:val="20"/>
              </w:rPr>
              <w:t xml:space="preserve">RCPsych Ref No: </w:t>
            </w:r>
            <w:r w:rsidR="00C37A4D">
              <w:rPr>
                <w:rFonts w:ascii="Montserrat" w:hAnsi="Montserrat" w:cs="Arial"/>
                <w:sz w:val="20"/>
                <w:szCs w:val="20"/>
              </w:rPr>
              <w:t xml:space="preserve"> </w:t>
            </w:r>
            <w:r w:rsidR="00ED0FDF" w:rsidRPr="00C37A4D">
              <w:rPr>
                <w:rFonts w:ascii="Montserrat" w:hAnsi="Montserrat" w:cs="Arial"/>
                <w:sz w:val="20"/>
                <w:szCs w:val="20"/>
              </w:rPr>
              <w:t>TRENT-CO-NTH-2024-01871</w:t>
            </w:r>
            <w:r w:rsidR="00C37A4D">
              <w:rPr>
                <w:rFonts w:ascii="Montserrat" w:hAnsi="Montserrat" w:cs="Arial"/>
                <w:sz w:val="20"/>
                <w:szCs w:val="20"/>
              </w:rPr>
              <w:br/>
            </w:r>
            <w:r w:rsidR="00ED0FDF" w:rsidRPr="00C37A4D">
              <w:rPr>
                <w:rFonts w:ascii="Montserrat" w:hAnsi="Montserrat" w:cs="Arial"/>
                <w:sz w:val="20"/>
                <w:szCs w:val="20"/>
              </w:rPr>
              <w:t>(Approved 27/03/2024)</w:t>
            </w:r>
          </w:p>
          <w:p w14:paraId="6FC9F41F" w14:textId="5EC6BABA" w:rsidR="00B87319" w:rsidRPr="00B87319" w:rsidRDefault="00C37A4D" w:rsidP="00B87319">
            <w:pPr>
              <w:rPr>
                <w:rFonts w:ascii="Arial" w:hAnsi="Arial" w:cs="Arial"/>
                <w:i/>
                <w:iCs/>
                <w:color w:val="C4BC96" w:themeColor="background2" w:themeShade="BF"/>
              </w:rPr>
            </w:pPr>
            <w:r>
              <w:rPr>
                <w:noProof/>
              </w:rPr>
              <w:drawing>
                <wp:anchor distT="0" distB="0" distL="114300" distR="114300" simplePos="0" relativeHeight="251658240" behindDoc="1" locked="0" layoutInCell="1" allowOverlap="1" wp14:anchorId="5460EBDD" wp14:editId="14D4CFBF">
                  <wp:simplePos x="0" y="0"/>
                  <wp:positionH relativeFrom="column">
                    <wp:posOffset>-1905</wp:posOffset>
                  </wp:positionH>
                  <wp:positionV relativeFrom="paragraph">
                    <wp:posOffset>160020</wp:posOffset>
                  </wp:positionV>
                  <wp:extent cx="1250950" cy="730250"/>
                  <wp:effectExtent l="0" t="0" r="6350" b="0"/>
                  <wp:wrapTight wrapText="bothSides">
                    <wp:wrapPolygon edited="0">
                      <wp:start x="0" y="0"/>
                      <wp:lineTo x="0" y="20849"/>
                      <wp:lineTo x="21381" y="20849"/>
                      <wp:lineTo x="21381" y="0"/>
                      <wp:lineTo x="0" y="0"/>
                    </wp:wrapPolygon>
                  </wp:wrapTight>
                  <wp:docPr id="285213837"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250950" cy="7302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4FC07EB7" w14:textId="695AE316" w:rsidR="00B87319" w:rsidRPr="00B87319" w:rsidRDefault="00B87319" w:rsidP="00B87319">
            <w:pPr>
              <w:rPr>
                <w:rFonts w:ascii="Arial" w:hAnsi="Arial" w:cs="Arial"/>
                <w:i/>
                <w:iCs/>
                <w:color w:val="C4BC96" w:themeColor="background2" w:themeShade="BF"/>
              </w:rPr>
            </w:pPr>
          </w:p>
          <w:p w14:paraId="004CCDF9" w14:textId="20D03D3C" w:rsidR="00B87319" w:rsidRPr="00B87319" w:rsidRDefault="00B87319" w:rsidP="00B87319">
            <w:pPr>
              <w:rPr>
                <w:rFonts w:ascii="Arial" w:hAnsi="Arial" w:cs="Arial"/>
              </w:rPr>
            </w:pPr>
          </w:p>
        </w:tc>
      </w:tr>
      <w:tr w:rsidR="00AF68B3" w:rsidRPr="00B87319" w14:paraId="7BD8D63C" w14:textId="77777777" w:rsidTr="00B87319">
        <w:tc>
          <w:tcPr>
            <w:tcW w:w="2943" w:type="dxa"/>
            <w:shd w:val="clear" w:color="auto" w:fill="B6DDE8" w:themeFill="accent5" w:themeFillTint="66"/>
          </w:tcPr>
          <w:p w14:paraId="120FD63E" w14:textId="77777777" w:rsidR="00AF68B3" w:rsidRPr="00B87319" w:rsidRDefault="00AF68B3" w:rsidP="000A563E">
            <w:pPr>
              <w:rPr>
                <w:rFonts w:ascii="Arial" w:hAnsi="Arial" w:cs="Arial"/>
                <w:b/>
              </w:rPr>
            </w:pPr>
            <w:r w:rsidRPr="00B87319">
              <w:rPr>
                <w:rFonts w:ascii="Arial" w:hAnsi="Arial" w:cs="Arial"/>
                <w:b/>
              </w:rPr>
              <w:t>DBS Level</w:t>
            </w:r>
          </w:p>
        </w:tc>
        <w:tc>
          <w:tcPr>
            <w:tcW w:w="6237" w:type="dxa"/>
            <w:gridSpan w:val="4"/>
          </w:tcPr>
          <w:p w14:paraId="42B61AA4" w14:textId="77777777" w:rsidR="00AF68B3" w:rsidRDefault="00DE53ED" w:rsidP="000A563E">
            <w:pPr>
              <w:rPr>
                <w:rFonts w:ascii="Arial" w:hAnsi="Arial" w:cs="Arial"/>
              </w:rPr>
            </w:pPr>
            <w:r w:rsidRPr="00B87319">
              <w:rPr>
                <w:rFonts w:ascii="Arial" w:hAnsi="Arial" w:cs="Arial"/>
              </w:rPr>
              <w:t>Enhanced DBS with Both Adults and Children’s Barred Lists</w:t>
            </w:r>
          </w:p>
          <w:p w14:paraId="400E3375" w14:textId="74823848" w:rsidR="00B87319" w:rsidRPr="00B87319" w:rsidRDefault="00B87319" w:rsidP="000A563E">
            <w:pPr>
              <w:rPr>
                <w:rFonts w:ascii="Arial" w:hAnsi="Arial" w:cs="Arial"/>
              </w:rPr>
            </w:pPr>
          </w:p>
        </w:tc>
      </w:tr>
      <w:tr w:rsidR="000A563E" w:rsidRPr="00B87319" w14:paraId="6D5D1A56" w14:textId="77777777" w:rsidTr="00B87319">
        <w:tc>
          <w:tcPr>
            <w:tcW w:w="2943" w:type="dxa"/>
            <w:shd w:val="clear" w:color="auto" w:fill="B6DDE8" w:themeFill="accent5" w:themeFillTint="66"/>
          </w:tcPr>
          <w:p w14:paraId="489FA79E" w14:textId="6C610D75" w:rsidR="000A563E" w:rsidRPr="00B87319" w:rsidRDefault="00B87319" w:rsidP="000A563E">
            <w:pPr>
              <w:rPr>
                <w:rFonts w:ascii="Arial" w:hAnsi="Arial" w:cs="Arial"/>
                <w:b/>
              </w:rPr>
            </w:pPr>
            <w:r w:rsidRPr="00B87319">
              <w:rPr>
                <w:rFonts w:ascii="Arial" w:hAnsi="Arial" w:cs="Arial"/>
                <w:b/>
              </w:rPr>
              <w:t>Base</w:t>
            </w:r>
          </w:p>
        </w:tc>
        <w:tc>
          <w:tcPr>
            <w:tcW w:w="6237" w:type="dxa"/>
            <w:gridSpan w:val="4"/>
          </w:tcPr>
          <w:p w14:paraId="2837F2EF" w14:textId="77777777" w:rsidR="0014554D" w:rsidRPr="006332C6" w:rsidRDefault="0014554D" w:rsidP="0014554D">
            <w:pPr>
              <w:rPr>
                <w:rFonts w:ascii="Arial" w:hAnsi="Arial" w:cs="Arial"/>
                <w:sz w:val="24"/>
                <w:szCs w:val="24"/>
              </w:rPr>
            </w:pPr>
            <w:r>
              <w:rPr>
                <w:rFonts w:ascii="Arial" w:hAnsi="Arial" w:cs="Arial"/>
                <w:sz w:val="24"/>
                <w:szCs w:val="24"/>
              </w:rPr>
              <w:t>Neville Centre, Gwendolen Road, Leicester, LE5 4QG</w:t>
            </w:r>
          </w:p>
          <w:p w14:paraId="623D867B" w14:textId="77777777" w:rsidR="000A563E" w:rsidRPr="00B87319" w:rsidRDefault="000A563E" w:rsidP="0014554D">
            <w:pPr>
              <w:rPr>
                <w:rFonts w:ascii="Arial" w:hAnsi="Arial" w:cs="Arial"/>
              </w:rPr>
            </w:pPr>
          </w:p>
        </w:tc>
      </w:tr>
      <w:tr w:rsidR="00B87319" w:rsidRPr="00B87319" w14:paraId="1F7F9474" w14:textId="77777777" w:rsidTr="00B87319">
        <w:tc>
          <w:tcPr>
            <w:tcW w:w="2943" w:type="dxa"/>
            <w:shd w:val="clear" w:color="auto" w:fill="B6DDE8" w:themeFill="accent5" w:themeFillTint="66"/>
          </w:tcPr>
          <w:p w14:paraId="693BA1B8" w14:textId="77777777" w:rsidR="00B87319" w:rsidRPr="00B87319" w:rsidRDefault="00B87319" w:rsidP="000A563E">
            <w:pPr>
              <w:rPr>
                <w:rFonts w:ascii="Arial" w:hAnsi="Arial" w:cs="Arial"/>
                <w:b/>
              </w:rPr>
            </w:pPr>
            <w:r w:rsidRPr="00B87319">
              <w:rPr>
                <w:rFonts w:ascii="Arial" w:hAnsi="Arial" w:cs="Arial"/>
                <w:b/>
              </w:rPr>
              <w:t>Contract</w:t>
            </w:r>
          </w:p>
          <w:p w14:paraId="35CCACE4" w14:textId="7ED5C035" w:rsidR="00B87319" w:rsidRPr="00B87319" w:rsidRDefault="00B87319" w:rsidP="000A563E">
            <w:pPr>
              <w:rPr>
                <w:rFonts w:ascii="Arial" w:hAnsi="Arial" w:cs="Arial"/>
                <w:b/>
              </w:rPr>
            </w:pPr>
          </w:p>
        </w:tc>
        <w:tc>
          <w:tcPr>
            <w:tcW w:w="6237" w:type="dxa"/>
            <w:gridSpan w:val="4"/>
          </w:tcPr>
          <w:p w14:paraId="08116C97" w14:textId="514EDB47" w:rsidR="00B87319" w:rsidRPr="00B87319" w:rsidRDefault="00B87319" w:rsidP="000A563E">
            <w:pPr>
              <w:rPr>
                <w:rFonts w:ascii="Arial" w:hAnsi="Arial" w:cs="Arial"/>
                <w:color w:val="FF0000"/>
              </w:rPr>
            </w:pPr>
            <w:r w:rsidRPr="00BD76EE">
              <w:rPr>
                <w:rFonts w:ascii="Arial" w:hAnsi="Arial" w:cs="Arial"/>
              </w:rPr>
              <w:t xml:space="preserve">Permanent </w:t>
            </w:r>
          </w:p>
        </w:tc>
      </w:tr>
      <w:tr w:rsidR="00B87319" w:rsidRPr="00B87319" w14:paraId="547B9E7A" w14:textId="77777777" w:rsidTr="00B87319">
        <w:tc>
          <w:tcPr>
            <w:tcW w:w="2943" w:type="dxa"/>
            <w:shd w:val="clear" w:color="auto" w:fill="B6DDE8" w:themeFill="accent5" w:themeFillTint="66"/>
          </w:tcPr>
          <w:p w14:paraId="27C84689" w14:textId="77777777" w:rsidR="00B87319" w:rsidRPr="00B87319" w:rsidRDefault="00B87319" w:rsidP="000A563E">
            <w:pPr>
              <w:rPr>
                <w:rFonts w:ascii="Arial" w:hAnsi="Arial" w:cs="Arial"/>
                <w:b/>
              </w:rPr>
            </w:pPr>
            <w:r w:rsidRPr="00B87319">
              <w:rPr>
                <w:rFonts w:ascii="Arial" w:hAnsi="Arial" w:cs="Arial"/>
                <w:b/>
              </w:rPr>
              <w:t>No. of Programmed Activities</w:t>
            </w:r>
          </w:p>
        </w:tc>
        <w:tc>
          <w:tcPr>
            <w:tcW w:w="2079" w:type="dxa"/>
          </w:tcPr>
          <w:p w14:paraId="70E4C22A" w14:textId="235967B4" w:rsidR="00B87319" w:rsidRPr="00B87319" w:rsidRDefault="00B87319" w:rsidP="000A563E">
            <w:pPr>
              <w:rPr>
                <w:rFonts w:ascii="Arial" w:hAnsi="Arial" w:cs="Arial"/>
              </w:rPr>
            </w:pPr>
            <w:r>
              <w:rPr>
                <w:rFonts w:ascii="Arial" w:hAnsi="Arial" w:cs="Arial"/>
              </w:rPr>
              <w:t>Total PAs:</w:t>
            </w:r>
            <w:r w:rsidR="00BD76EE">
              <w:rPr>
                <w:rFonts w:ascii="Arial" w:hAnsi="Arial" w:cs="Arial"/>
              </w:rPr>
              <w:t>10</w:t>
            </w:r>
          </w:p>
        </w:tc>
        <w:tc>
          <w:tcPr>
            <w:tcW w:w="2079" w:type="dxa"/>
            <w:gridSpan w:val="2"/>
          </w:tcPr>
          <w:p w14:paraId="12F9A8FE" w14:textId="53C83F4A" w:rsidR="00B87319" w:rsidRPr="00B87319" w:rsidRDefault="00B87319" w:rsidP="000A563E">
            <w:pPr>
              <w:rPr>
                <w:rFonts w:ascii="Arial" w:hAnsi="Arial" w:cs="Arial"/>
              </w:rPr>
            </w:pPr>
            <w:r>
              <w:rPr>
                <w:rFonts w:ascii="Arial" w:hAnsi="Arial" w:cs="Arial"/>
              </w:rPr>
              <w:t>DCC:</w:t>
            </w:r>
            <w:r w:rsidR="00BD76EE">
              <w:rPr>
                <w:rFonts w:ascii="Arial" w:hAnsi="Arial" w:cs="Arial"/>
              </w:rPr>
              <w:t>7.5</w:t>
            </w:r>
          </w:p>
        </w:tc>
        <w:tc>
          <w:tcPr>
            <w:tcW w:w="2079" w:type="dxa"/>
          </w:tcPr>
          <w:p w14:paraId="3A867D24" w14:textId="6C838CA2" w:rsidR="00B87319" w:rsidRPr="00B87319" w:rsidRDefault="00B87319" w:rsidP="000A563E">
            <w:pPr>
              <w:rPr>
                <w:rFonts w:ascii="Arial" w:hAnsi="Arial" w:cs="Arial"/>
              </w:rPr>
            </w:pPr>
            <w:r>
              <w:rPr>
                <w:rFonts w:ascii="Arial" w:hAnsi="Arial" w:cs="Arial"/>
              </w:rPr>
              <w:t>SPA:</w:t>
            </w:r>
            <w:r w:rsidR="00BD76EE">
              <w:rPr>
                <w:rFonts w:ascii="Arial" w:hAnsi="Arial" w:cs="Arial"/>
              </w:rPr>
              <w:t>2.5</w:t>
            </w:r>
          </w:p>
        </w:tc>
      </w:tr>
      <w:tr w:rsidR="000A563E" w:rsidRPr="00B87319" w14:paraId="118DF210" w14:textId="77777777" w:rsidTr="00B87319">
        <w:tc>
          <w:tcPr>
            <w:tcW w:w="2943" w:type="dxa"/>
            <w:shd w:val="clear" w:color="auto" w:fill="B6DDE8" w:themeFill="accent5" w:themeFillTint="66"/>
          </w:tcPr>
          <w:p w14:paraId="257B8457" w14:textId="34B5AA74" w:rsidR="000A563E" w:rsidRPr="00B87319" w:rsidRDefault="00B87319" w:rsidP="000A563E">
            <w:pPr>
              <w:rPr>
                <w:rFonts w:ascii="Arial" w:hAnsi="Arial" w:cs="Arial"/>
                <w:b/>
              </w:rPr>
            </w:pPr>
            <w:r>
              <w:rPr>
                <w:rFonts w:ascii="Arial" w:hAnsi="Arial" w:cs="Arial"/>
                <w:b/>
              </w:rPr>
              <w:t>Accountable professionally to</w:t>
            </w:r>
          </w:p>
        </w:tc>
        <w:tc>
          <w:tcPr>
            <w:tcW w:w="6237" w:type="dxa"/>
            <w:gridSpan w:val="4"/>
          </w:tcPr>
          <w:p w14:paraId="0E90C52A" w14:textId="77777777" w:rsidR="000A563E" w:rsidRPr="00B87319" w:rsidRDefault="000A563E" w:rsidP="000A563E">
            <w:pPr>
              <w:rPr>
                <w:rFonts w:ascii="Arial" w:hAnsi="Arial" w:cs="Arial"/>
              </w:rPr>
            </w:pPr>
            <w:r w:rsidRPr="00B87319">
              <w:rPr>
                <w:rFonts w:ascii="Arial" w:hAnsi="Arial" w:cs="Arial"/>
              </w:rPr>
              <w:t>Medical Director</w:t>
            </w:r>
          </w:p>
          <w:p w14:paraId="62E8A1A4" w14:textId="77777777" w:rsidR="00655999" w:rsidRPr="00B87319" w:rsidRDefault="00655999" w:rsidP="000A563E">
            <w:pPr>
              <w:rPr>
                <w:rFonts w:ascii="Arial" w:hAnsi="Arial" w:cs="Arial"/>
              </w:rPr>
            </w:pPr>
          </w:p>
        </w:tc>
      </w:tr>
      <w:tr w:rsidR="000A563E" w:rsidRPr="00B87319" w14:paraId="3D778CB1" w14:textId="77777777" w:rsidTr="00B87319">
        <w:tc>
          <w:tcPr>
            <w:tcW w:w="2943" w:type="dxa"/>
            <w:shd w:val="clear" w:color="auto" w:fill="B6DDE8" w:themeFill="accent5" w:themeFillTint="66"/>
          </w:tcPr>
          <w:p w14:paraId="0D8C0F5B" w14:textId="46F5783F" w:rsidR="000A563E" w:rsidRPr="00B87319" w:rsidRDefault="00B87319" w:rsidP="000A563E">
            <w:pPr>
              <w:rPr>
                <w:rFonts w:ascii="Arial" w:hAnsi="Arial" w:cs="Arial"/>
                <w:b/>
              </w:rPr>
            </w:pPr>
            <w:r>
              <w:rPr>
                <w:rFonts w:ascii="Arial" w:hAnsi="Arial" w:cs="Arial"/>
                <w:b/>
              </w:rPr>
              <w:t>Accountable operationally to</w:t>
            </w:r>
          </w:p>
        </w:tc>
        <w:tc>
          <w:tcPr>
            <w:tcW w:w="6237" w:type="dxa"/>
            <w:gridSpan w:val="4"/>
          </w:tcPr>
          <w:p w14:paraId="5135CABC" w14:textId="12D7F038" w:rsidR="000A563E" w:rsidRPr="00B87319" w:rsidRDefault="008E1D15" w:rsidP="000A563E">
            <w:pPr>
              <w:rPr>
                <w:rFonts w:ascii="Arial" w:hAnsi="Arial" w:cs="Arial"/>
              </w:rPr>
            </w:pPr>
            <w:r w:rsidRPr="00B87319">
              <w:rPr>
                <w:rFonts w:ascii="Arial" w:hAnsi="Arial" w:cs="Arial"/>
              </w:rPr>
              <w:t xml:space="preserve">Associate Medical Director for </w:t>
            </w:r>
            <w:r w:rsidR="00BD76EE">
              <w:rPr>
                <w:rFonts w:ascii="Arial" w:hAnsi="Arial" w:cs="Arial"/>
              </w:rPr>
              <w:t>Mental Health Services</w:t>
            </w:r>
          </w:p>
          <w:p w14:paraId="17AF5C60" w14:textId="77777777" w:rsidR="000A563E" w:rsidRPr="00B87319" w:rsidRDefault="000A563E" w:rsidP="000A563E">
            <w:pPr>
              <w:rPr>
                <w:rFonts w:ascii="Arial" w:hAnsi="Arial" w:cs="Arial"/>
              </w:rPr>
            </w:pPr>
          </w:p>
        </w:tc>
      </w:tr>
      <w:tr w:rsidR="000A563E" w:rsidRPr="00B87319" w14:paraId="0305CB6B" w14:textId="77777777" w:rsidTr="00B87319">
        <w:tc>
          <w:tcPr>
            <w:tcW w:w="2943" w:type="dxa"/>
            <w:vMerge w:val="restart"/>
            <w:shd w:val="clear" w:color="auto" w:fill="B6DDE8" w:themeFill="accent5" w:themeFillTint="66"/>
          </w:tcPr>
          <w:p w14:paraId="3A62A1CD" w14:textId="3FD7BBB4" w:rsidR="00B87319" w:rsidRDefault="00B87319" w:rsidP="000A563E">
            <w:pPr>
              <w:rPr>
                <w:rFonts w:ascii="Arial" w:hAnsi="Arial" w:cs="Arial"/>
                <w:b/>
              </w:rPr>
            </w:pPr>
          </w:p>
          <w:p w14:paraId="2E5D3686" w14:textId="62F6835E" w:rsidR="000A563E" w:rsidRPr="00B87319" w:rsidRDefault="000A563E" w:rsidP="000A563E">
            <w:pPr>
              <w:rPr>
                <w:rFonts w:ascii="Arial" w:hAnsi="Arial" w:cs="Arial"/>
                <w:b/>
              </w:rPr>
            </w:pPr>
            <w:r w:rsidRPr="00B87319">
              <w:rPr>
                <w:rFonts w:ascii="Arial" w:hAnsi="Arial" w:cs="Arial"/>
                <w:b/>
              </w:rPr>
              <w:t>Key Working Relationships</w:t>
            </w:r>
            <w:r w:rsidR="00B87319">
              <w:rPr>
                <w:rFonts w:ascii="Arial" w:hAnsi="Arial" w:cs="Arial"/>
                <w:b/>
              </w:rPr>
              <w:t xml:space="preserve"> and lines of responsibility</w:t>
            </w:r>
          </w:p>
        </w:tc>
        <w:tc>
          <w:tcPr>
            <w:tcW w:w="3261" w:type="dxa"/>
            <w:gridSpan w:val="2"/>
          </w:tcPr>
          <w:p w14:paraId="39CC3765" w14:textId="77777777" w:rsidR="000A563E" w:rsidRDefault="000C115D" w:rsidP="000A563E">
            <w:pPr>
              <w:rPr>
                <w:rFonts w:ascii="Arial" w:hAnsi="Arial" w:cs="Arial"/>
              </w:rPr>
            </w:pPr>
            <w:r w:rsidRPr="00B87319">
              <w:rPr>
                <w:rFonts w:ascii="Arial" w:hAnsi="Arial" w:cs="Arial"/>
              </w:rPr>
              <w:t>Director</w:t>
            </w:r>
            <w:r w:rsidR="008E0903">
              <w:rPr>
                <w:rFonts w:ascii="Arial" w:hAnsi="Arial" w:cs="Arial"/>
              </w:rPr>
              <w:t xml:space="preserve"> of Mental Health</w:t>
            </w:r>
          </w:p>
          <w:p w14:paraId="56AA5357" w14:textId="2EE017B2" w:rsidR="008E0903" w:rsidRPr="00B87319" w:rsidRDefault="008E0903" w:rsidP="000A563E">
            <w:pPr>
              <w:rPr>
                <w:rFonts w:ascii="Arial" w:hAnsi="Arial" w:cs="Arial"/>
              </w:rPr>
            </w:pPr>
          </w:p>
        </w:tc>
        <w:tc>
          <w:tcPr>
            <w:tcW w:w="2976" w:type="dxa"/>
            <w:gridSpan w:val="2"/>
          </w:tcPr>
          <w:p w14:paraId="5F4C0918" w14:textId="391BE7D7" w:rsidR="000A563E" w:rsidRPr="00B87319" w:rsidRDefault="00BD76EE" w:rsidP="000A563E">
            <w:pPr>
              <w:rPr>
                <w:rFonts w:ascii="Arial" w:hAnsi="Arial" w:cs="Arial"/>
              </w:rPr>
            </w:pPr>
            <w:r>
              <w:rPr>
                <w:rFonts w:ascii="Arial" w:hAnsi="Arial" w:cs="Arial"/>
              </w:rPr>
              <w:t>Tanya Hibbert</w:t>
            </w:r>
          </w:p>
        </w:tc>
      </w:tr>
      <w:tr w:rsidR="000A563E" w:rsidRPr="00B87319" w14:paraId="1EF22709" w14:textId="77777777" w:rsidTr="00B87319">
        <w:tc>
          <w:tcPr>
            <w:tcW w:w="2943" w:type="dxa"/>
            <w:vMerge/>
            <w:shd w:val="clear" w:color="auto" w:fill="B6DDE8" w:themeFill="accent5" w:themeFillTint="66"/>
          </w:tcPr>
          <w:p w14:paraId="1059785A" w14:textId="77777777" w:rsidR="000A563E" w:rsidRPr="00B87319" w:rsidRDefault="000A563E" w:rsidP="000A563E">
            <w:pPr>
              <w:rPr>
                <w:rFonts w:ascii="Arial" w:hAnsi="Arial" w:cs="Arial"/>
              </w:rPr>
            </w:pPr>
          </w:p>
        </w:tc>
        <w:tc>
          <w:tcPr>
            <w:tcW w:w="3261" w:type="dxa"/>
            <w:gridSpan w:val="2"/>
          </w:tcPr>
          <w:p w14:paraId="458DA621" w14:textId="0EC55CD8" w:rsidR="000A563E" w:rsidRPr="00B87319" w:rsidRDefault="008B31CE" w:rsidP="000A563E">
            <w:pPr>
              <w:rPr>
                <w:rFonts w:ascii="Arial" w:hAnsi="Arial" w:cs="Arial"/>
              </w:rPr>
            </w:pPr>
            <w:r w:rsidRPr="00B87319">
              <w:rPr>
                <w:rFonts w:ascii="Arial" w:hAnsi="Arial" w:cs="Arial"/>
              </w:rPr>
              <w:t>Associate Medical Director</w:t>
            </w:r>
            <w:r w:rsidR="000C115D" w:rsidRPr="00B87319">
              <w:rPr>
                <w:rFonts w:ascii="Arial" w:hAnsi="Arial" w:cs="Arial"/>
              </w:rPr>
              <w:t xml:space="preserve"> </w:t>
            </w:r>
            <w:r w:rsidR="00BD76EE">
              <w:rPr>
                <w:rFonts w:ascii="Arial" w:hAnsi="Arial" w:cs="Arial"/>
              </w:rPr>
              <w:t>for Directorate of Mental Health</w:t>
            </w:r>
          </w:p>
        </w:tc>
        <w:tc>
          <w:tcPr>
            <w:tcW w:w="2976" w:type="dxa"/>
            <w:gridSpan w:val="2"/>
          </w:tcPr>
          <w:p w14:paraId="662B1C86" w14:textId="59D59B7B" w:rsidR="000A563E" w:rsidRPr="00B87319" w:rsidRDefault="00BD76EE" w:rsidP="000A563E">
            <w:pPr>
              <w:rPr>
                <w:rFonts w:ascii="Arial" w:hAnsi="Arial" w:cs="Arial"/>
              </w:rPr>
            </w:pPr>
            <w:r>
              <w:rPr>
                <w:rFonts w:ascii="Arial" w:hAnsi="Arial" w:cs="Arial"/>
              </w:rPr>
              <w:t>Dr Samantha Hamer</w:t>
            </w:r>
          </w:p>
        </w:tc>
      </w:tr>
      <w:tr w:rsidR="00B87319" w:rsidRPr="00B87319" w14:paraId="3AFF916B" w14:textId="77777777" w:rsidTr="00B87319">
        <w:tc>
          <w:tcPr>
            <w:tcW w:w="2943" w:type="dxa"/>
            <w:vMerge/>
            <w:shd w:val="clear" w:color="auto" w:fill="B6DDE8" w:themeFill="accent5" w:themeFillTint="66"/>
          </w:tcPr>
          <w:p w14:paraId="74571445" w14:textId="77777777" w:rsidR="00B87319" w:rsidRPr="00B87319" w:rsidRDefault="00B87319" w:rsidP="000A563E">
            <w:pPr>
              <w:rPr>
                <w:rFonts w:ascii="Arial" w:hAnsi="Arial" w:cs="Arial"/>
              </w:rPr>
            </w:pPr>
          </w:p>
        </w:tc>
        <w:tc>
          <w:tcPr>
            <w:tcW w:w="3261" w:type="dxa"/>
            <w:gridSpan w:val="2"/>
          </w:tcPr>
          <w:p w14:paraId="489E7EE7" w14:textId="77777777" w:rsidR="00B87319" w:rsidRDefault="00B87319" w:rsidP="000A563E">
            <w:pPr>
              <w:rPr>
                <w:rFonts w:ascii="Arial" w:hAnsi="Arial" w:cs="Arial"/>
              </w:rPr>
            </w:pPr>
            <w:r w:rsidRPr="00B87319">
              <w:rPr>
                <w:rFonts w:ascii="Arial" w:hAnsi="Arial" w:cs="Arial"/>
              </w:rPr>
              <w:t>Clinical Director</w:t>
            </w:r>
          </w:p>
          <w:p w14:paraId="4BB19413" w14:textId="32E21015" w:rsidR="00BD76EE" w:rsidRPr="00B87319" w:rsidRDefault="00BD76EE" w:rsidP="000A563E">
            <w:pPr>
              <w:rPr>
                <w:rFonts w:ascii="Arial" w:hAnsi="Arial" w:cs="Arial"/>
              </w:rPr>
            </w:pPr>
          </w:p>
        </w:tc>
        <w:tc>
          <w:tcPr>
            <w:tcW w:w="2976" w:type="dxa"/>
            <w:gridSpan w:val="2"/>
          </w:tcPr>
          <w:p w14:paraId="768A843A" w14:textId="450FB94B" w:rsidR="00B87319" w:rsidRPr="00B87319" w:rsidRDefault="00BD76EE" w:rsidP="000A563E">
            <w:pPr>
              <w:rPr>
                <w:rFonts w:ascii="Arial" w:hAnsi="Arial" w:cs="Arial"/>
              </w:rPr>
            </w:pPr>
            <w:r>
              <w:rPr>
                <w:rFonts w:ascii="Arial" w:hAnsi="Arial" w:cs="Arial"/>
              </w:rPr>
              <w:t>Dr Charlotte Messer</w:t>
            </w:r>
          </w:p>
        </w:tc>
      </w:tr>
      <w:tr w:rsidR="00B87319" w:rsidRPr="00B87319" w14:paraId="0726B957" w14:textId="77777777" w:rsidTr="00B87319">
        <w:tc>
          <w:tcPr>
            <w:tcW w:w="2943" w:type="dxa"/>
            <w:vMerge/>
            <w:shd w:val="clear" w:color="auto" w:fill="B6DDE8" w:themeFill="accent5" w:themeFillTint="66"/>
          </w:tcPr>
          <w:p w14:paraId="77014D26" w14:textId="77777777" w:rsidR="00B87319" w:rsidRPr="00B87319" w:rsidRDefault="00B87319" w:rsidP="000A563E">
            <w:pPr>
              <w:rPr>
                <w:rFonts w:ascii="Arial" w:hAnsi="Arial" w:cs="Arial"/>
              </w:rPr>
            </w:pPr>
          </w:p>
        </w:tc>
        <w:tc>
          <w:tcPr>
            <w:tcW w:w="3261" w:type="dxa"/>
            <w:gridSpan w:val="2"/>
          </w:tcPr>
          <w:p w14:paraId="126637AF" w14:textId="77777777" w:rsidR="00B87319" w:rsidRDefault="00B87319" w:rsidP="000A563E">
            <w:pPr>
              <w:rPr>
                <w:rFonts w:ascii="Arial" w:hAnsi="Arial" w:cs="Arial"/>
              </w:rPr>
            </w:pPr>
            <w:r w:rsidRPr="00B87319">
              <w:rPr>
                <w:rFonts w:ascii="Arial" w:hAnsi="Arial" w:cs="Arial"/>
              </w:rPr>
              <w:t>Associate Clinical Director</w:t>
            </w:r>
          </w:p>
          <w:p w14:paraId="07F9992E" w14:textId="3F0F82F1" w:rsidR="00BD76EE" w:rsidRPr="00B87319" w:rsidRDefault="00BD76EE" w:rsidP="000A563E">
            <w:pPr>
              <w:rPr>
                <w:rFonts w:ascii="Arial" w:hAnsi="Arial" w:cs="Arial"/>
              </w:rPr>
            </w:pPr>
          </w:p>
        </w:tc>
        <w:tc>
          <w:tcPr>
            <w:tcW w:w="2976" w:type="dxa"/>
            <w:gridSpan w:val="2"/>
          </w:tcPr>
          <w:p w14:paraId="4D37FA6B" w14:textId="25D30B74" w:rsidR="00B87319" w:rsidRDefault="001A3A50" w:rsidP="000A563E">
            <w:pPr>
              <w:rPr>
                <w:rFonts w:ascii="Arial" w:hAnsi="Arial" w:cs="Arial"/>
              </w:rPr>
            </w:pPr>
            <w:r>
              <w:rPr>
                <w:rFonts w:ascii="Arial" w:hAnsi="Arial" w:cs="Arial"/>
              </w:rPr>
              <w:t>Vacan</w:t>
            </w:r>
            <w:r w:rsidR="00655999">
              <w:rPr>
                <w:rFonts w:ascii="Arial" w:hAnsi="Arial" w:cs="Arial"/>
              </w:rPr>
              <w:t>t</w:t>
            </w:r>
          </w:p>
          <w:p w14:paraId="0D761C42" w14:textId="5F67FF74" w:rsidR="00655999" w:rsidRPr="00B87319" w:rsidRDefault="00655999" w:rsidP="000A563E">
            <w:pPr>
              <w:rPr>
                <w:rFonts w:ascii="Arial" w:hAnsi="Arial" w:cs="Arial"/>
              </w:rPr>
            </w:pPr>
          </w:p>
        </w:tc>
      </w:tr>
      <w:tr w:rsidR="000C115D" w:rsidRPr="00B87319" w14:paraId="5513D382" w14:textId="77777777" w:rsidTr="00B87319">
        <w:tc>
          <w:tcPr>
            <w:tcW w:w="2943" w:type="dxa"/>
            <w:vMerge/>
            <w:shd w:val="clear" w:color="auto" w:fill="B6DDE8" w:themeFill="accent5" w:themeFillTint="66"/>
          </w:tcPr>
          <w:p w14:paraId="4AD03C64" w14:textId="77777777" w:rsidR="000C115D" w:rsidRPr="00B87319" w:rsidRDefault="000C115D" w:rsidP="000A563E">
            <w:pPr>
              <w:rPr>
                <w:rFonts w:ascii="Arial" w:hAnsi="Arial" w:cs="Arial"/>
              </w:rPr>
            </w:pPr>
          </w:p>
        </w:tc>
        <w:tc>
          <w:tcPr>
            <w:tcW w:w="3261" w:type="dxa"/>
            <w:gridSpan w:val="2"/>
          </w:tcPr>
          <w:p w14:paraId="3223020D" w14:textId="77777777" w:rsidR="000C115D" w:rsidRDefault="000C115D" w:rsidP="000A563E">
            <w:pPr>
              <w:rPr>
                <w:rFonts w:ascii="Arial" w:hAnsi="Arial" w:cs="Arial"/>
              </w:rPr>
            </w:pPr>
            <w:r w:rsidRPr="00B87319">
              <w:rPr>
                <w:rFonts w:ascii="Arial" w:hAnsi="Arial" w:cs="Arial"/>
              </w:rPr>
              <w:t>Line Manager</w:t>
            </w:r>
          </w:p>
          <w:p w14:paraId="5406FA0F" w14:textId="511F252D" w:rsidR="00BD76EE" w:rsidRPr="00B87319" w:rsidRDefault="00BD76EE" w:rsidP="000A563E">
            <w:pPr>
              <w:rPr>
                <w:rFonts w:ascii="Arial" w:hAnsi="Arial" w:cs="Arial"/>
              </w:rPr>
            </w:pPr>
          </w:p>
        </w:tc>
        <w:tc>
          <w:tcPr>
            <w:tcW w:w="2976" w:type="dxa"/>
            <w:gridSpan w:val="2"/>
          </w:tcPr>
          <w:p w14:paraId="2AB3F6E7" w14:textId="67488ED4" w:rsidR="000C115D" w:rsidRPr="00B87319" w:rsidRDefault="008E0903" w:rsidP="000A563E">
            <w:pPr>
              <w:rPr>
                <w:rFonts w:ascii="Arial" w:hAnsi="Arial" w:cs="Arial"/>
              </w:rPr>
            </w:pPr>
            <w:r>
              <w:rPr>
                <w:rFonts w:ascii="Arial" w:hAnsi="Arial" w:cs="Arial"/>
              </w:rPr>
              <w:t>Dr Charlotte Messer</w:t>
            </w:r>
          </w:p>
        </w:tc>
      </w:tr>
      <w:tr w:rsidR="000A563E" w:rsidRPr="00B87319" w14:paraId="2FD9E44E" w14:textId="77777777" w:rsidTr="00B87319">
        <w:tc>
          <w:tcPr>
            <w:tcW w:w="2943" w:type="dxa"/>
            <w:vMerge/>
            <w:shd w:val="clear" w:color="auto" w:fill="B6DDE8" w:themeFill="accent5" w:themeFillTint="66"/>
          </w:tcPr>
          <w:p w14:paraId="74A60906" w14:textId="77777777" w:rsidR="000A563E" w:rsidRPr="00B87319" w:rsidRDefault="000A563E" w:rsidP="000A563E">
            <w:pPr>
              <w:rPr>
                <w:rFonts w:ascii="Arial" w:hAnsi="Arial" w:cs="Arial"/>
              </w:rPr>
            </w:pPr>
          </w:p>
        </w:tc>
        <w:tc>
          <w:tcPr>
            <w:tcW w:w="3261" w:type="dxa"/>
            <w:gridSpan w:val="2"/>
          </w:tcPr>
          <w:p w14:paraId="524BBBD1" w14:textId="77777777" w:rsidR="000A563E" w:rsidRDefault="000A563E" w:rsidP="000A563E">
            <w:pPr>
              <w:rPr>
                <w:rFonts w:ascii="Arial" w:hAnsi="Arial" w:cs="Arial"/>
              </w:rPr>
            </w:pPr>
            <w:r w:rsidRPr="00B87319">
              <w:rPr>
                <w:rFonts w:ascii="Arial" w:hAnsi="Arial" w:cs="Arial"/>
              </w:rPr>
              <w:t>Responsible Officer</w:t>
            </w:r>
          </w:p>
          <w:p w14:paraId="62849261" w14:textId="16344181" w:rsidR="00BD76EE" w:rsidRPr="00B87319" w:rsidRDefault="00BD76EE" w:rsidP="000A563E">
            <w:pPr>
              <w:rPr>
                <w:rFonts w:ascii="Arial" w:hAnsi="Arial" w:cs="Arial"/>
              </w:rPr>
            </w:pPr>
          </w:p>
        </w:tc>
        <w:tc>
          <w:tcPr>
            <w:tcW w:w="2976" w:type="dxa"/>
            <w:gridSpan w:val="2"/>
          </w:tcPr>
          <w:p w14:paraId="12F082E2" w14:textId="167A619B" w:rsidR="000A563E" w:rsidRPr="00B87319" w:rsidRDefault="00BD76EE" w:rsidP="00BA63A8">
            <w:pPr>
              <w:rPr>
                <w:rFonts w:ascii="Arial" w:hAnsi="Arial" w:cs="Arial"/>
              </w:rPr>
            </w:pPr>
            <w:r>
              <w:rPr>
                <w:rFonts w:ascii="Arial" w:hAnsi="Arial" w:cs="Arial"/>
              </w:rPr>
              <w:t>Dr Saquib Muhammad</w:t>
            </w:r>
          </w:p>
        </w:tc>
      </w:tr>
      <w:tr w:rsidR="000A563E" w:rsidRPr="00B87319" w14:paraId="61E85C25" w14:textId="77777777" w:rsidTr="00B87319">
        <w:tc>
          <w:tcPr>
            <w:tcW w:w="2943" w:type="dxa"/>
            <w:vMerge/>
            <w:shd w:val="clear" w:color="auto" w:fill="B6DDE8" w:themeFill="accent5" w:themeFillTint="66"/>
          </w:tcPr>
          <w:p w14:paraId="551853C2" w14:textId="77777777" w:rsidR="000A563E" w:rsidRPr="00B87319" w:rsidRDefault="000A563E" w:rsidP="000A563E">
            <w:pPr>
              <w:rPr>
                <w:rFonts w:ascii="Arial" w:hAnsi="Arial" w:cs="Arial"/>
              </w:rPr>
            </w:pPr>
          </w:p>
        </w:tc>
        <w:tc>
          <w:tcPr>
            <w:tcW w:w="3261" w:type="dxa"/>
            <w:gridSpan w:val="2"/>
          </w:tcPr>
          <w:p w14:paraId="1489DDF7" w14:textId="77777777" w:rsidR="000A563E" w:rsidRDefault="000A563E" w:rsidP="000A563E">
            <w:pPr>
              <w:rPr>
                <w:rFonts w:ascii="Arial" w:hAnsi="Arial" w:cs="Arial"/>
              </w:rPr>
            </w:pPr>
            <w:r w:rsidRPr="00B87319">
              <w:rPr>
                <w:rFonts w:ascii="Arial" w:hAnsi="Arial" w:cs="Arial"/>
              </w:rPr>
              <w:t>Medical Director</w:t>
            </w:r>
          </w:p>
          <w:p w14:paraId="67D53867" w14:textId="6DC1BC31" w:rsidR="00BD76EE" w:rsidRPr="00B87319" w:rsidRDefault="00BD76EE" w:rsidP="000A563E">
            <w:pPr>
              <w:rPr>
                <w:rFonts w:ascii="Arial" w:hAnsi="Arial" w:cs="Arial"/>
              </w:rPr>
            </w:pPr>
          </w:p>
        </w:tc>
        <w:tc>
          <w:tcPr>
            <w:tcW w:w="2976" w:type="dxa"/>
            <w:gridSpan w:val="2"/>
          </w:tcPr>
          <w:p w14:paraId="79E1AE4B" w14:textId="31A433B9" w:rsidR="000A563E" w:rsidRPr="00B87319" w:rsidRDefault="00BD76EE" w:rsidP="000A563E">
            <w:pPr>
              <w:rPr>
                <w:rFonts w:ascii="Arial" w:hAnsi="Arial" w:cs="Arial"/>
              </w:rPr>
            </w:pPr>
            <w:r>
              <w:rPr>
                <w:rFonts w:ascii="Arial" w:hAnsi="Arial" w:cs="Arial"/>
              </w:rPr>
              <w:t>Dr Bhanu Chadalavada</w:t>
            </w:r>
          </w:p>
        </w:tc>
      </w:tr>
      <w:tr w:rsidR="00B87319" w:rsidRPr="00B87319" w14:paraId="26CA891F" w14:textId="77777777" w:rsidTr="00B87319">
        <w:tc>
          <w:tcPr>
            <w:tcW w:w="2943" w:type="dxa"/>
            <w:vMerge/>
            <w:shd w:val="clear" w:color="auto" w:fill="B6DDE8" w:themeFill="accent5" w:themeFillTint="66"/>
          </w:tcPr>
          <w:p w14:paraId="43415A01" w14:textId="77777777" w:rsidR="00B87319" w:rsidRPr="00B87319" w:rsidRDefault="00B87319" w:rsidP="000A563E">
            <w:pPr>
              <w:rPr>
                <w:rFonts w:ascii="Arial" w:hAnsi="Arial" w:cs="Arial"/>
              </w:rPr>
            </w:pPr>
          </w:p>
        </w:tc>
        <w:tc>
          <w:tcPr>
            <w:tcW w:w="3261" w:type="dxa"/>
            <w:gridSpan w:val="2"/>
          </w:tcPr>
          <w:p w14:paraId="701F9AE6" w14:textId="77777777" w:rsidR="00B87319" w:rsidRDefault="00B87319" w:rsidP="000A563E">
            <w:pPr>
              <w:rPr>
                <w:rFonts w:ascii="Arial" w:hAnsi="Arial" w:cs="Arial"/>
              </w:rPr>
            </w:pPr>
            <w:r>
              <w:rPr>
                <w:rFonts w:ascii="Arial" w:hAnsi="Arial" w:cs="Arial"/>
              </w:rPr>
              <w:t>Chief Executive</w:t>
            </w:r>
          </w:p>
          <w:p w14:paraId="3D26A7A3" w14:textId="071C3A92" w:rsidR="00BD76EE" w:rsidRPr="00B87319" w:rsidRDefault="00BD76EE" w:rsidP="000A563E">
            <w:pPr>
              <w:rPr>
                <w:rFonts w:ascii="Arial" w:hAnsi="Arial" w:cs="Arial"/>
              </w:rPr>
            </w:pPr>
          </w:p>
        </w:tc>
        <w:tc>
          <w:tcPr>
            <w:tcW w:w="2976" w:type="dxa"/>
            <w:gridSpan w:val="2"/>
          </w:tcPr>
          <w:p w14:paraId="0EF9F8CD" w14:textId="7E559B37" w:rsidR="00B87319" w:rsidRPr="00B87319" w:rsidRDefault="00BD76EE" w:rsidP="000A563E">
            <w:pPr>
              <w:rPr>
                <w:rFonts w:ascii="Arial" w:hAnsi="Arial" w:cs="Arial"/>
              </w:rPr>
            </w:pPr>
            <w:r w:rsidRPr="00B87319">
              <w:rPr>
                <w:rFonts w:ascii="Arial" w:hAnsi="Arial" w:cs="Arial"/>
              </w:rPr>
              <w:t>Angela Hillery</w:t>
            </w:r>
          </w:p>
        </w:tc>
      </w:tr>
      <w:tr w:rsidR="000A563E" w:rsidRPr="00B87319" w14:paraId="6D460290" w14:textId="77777777" w:rsidTr="00B87319">
        <w:tc>
          <w:tcPr>
            <w:tcW w:w="2943" w:type="dxa"/>
            <w:vMerge/>
            <w:shd w:val="clear" w:color="auto" w:fill="B6DDE8" w:themeFill="accent5" w:themeFillTint="66"/>
          </w:tcPr>
          <w:p w14:paraId="2A23DCAC" w14:textId="77777777" w:rsidR="000A563E" w:rsidRPr="00B87319" w:rsidRDefault="000A563E" w:rsidP="000A563E">
            <w:pPr>
              <w:rPr>
                <w:rFonts w:ascii="Arial" w:hAnsi="Arial" w:cs="Arial"/>
              </w:rPr>
            </w:pPr>
          </w:p>
        </w:tc>
        <w:tc>
          <w:tcPr>
            <w:tcW w:w="3261" w:type="dxa"/>
            <w:gridSpan w:val="2"/>
          </w:tcPr>
          <w:p w14:paraId="4ACD86A3" w14:textId="77777777" w:rsidR="000A563E" w:rsidRDefault="00BD76EE" w:rsidP="000A563E">
            <w:pPr>
              <w:rPr>
                <w:rFonts w:ascii="Arial" w:hAnsi="Arial" w:cs="Arial"/>
              </w:rPr>
            </w:pPr>
            <w:r>
              <w:rPr>
                <w:rFonts w:ascii="Arial" w:hAnsi="Arial" w:cs="Arial"/>
              </w:rPr>
              <w:t xml:space="preserve">Deputy </w:t>
            </w:r>
            <w:r w:rsidR="000A563E" w:rsidRPr="00B87319">
              <w:rPr>
                <w:rFonts w:ascii="Arial" w:hAnsi="Arial" w:cs="Arial"/>
              </w:rPr>
              <w:t>Chief Executive</w:t>
            </w:r>
          </w:p>
          <w:p w14:paraId="63FCE5C9" w14:textId="421051BB" w:rsidR="00BD76EE" w:rsidRPr="00B87319" w:rsidRDefault="00BD76EE" w:rsidP="000A563E">
            <w:pPr>
              <w:rPr>
                <w:rFonts w:ascii="Arial" w:hAnsi="Arial" w:cs="Arial"/>
              </w:rPr>
            </w:pPr>
          </w:p>
        </w:tc>
        <w:tc>
          <w:tcPr>
            <w:tcW w:w="2976" w:type="dxa"/>
            <w:gridSpan w:val="2"/>
          </w:tcPr>
          <w:p w14:paraId="780830D3" w14:textId="26F8C9B0" w:rsidR="000A563E" w:rsidRPr="00B87319" w:rsidRDefault="00BD76EE" w:rsidP="000A563E">
            <w:pPr>
              <w:rPr>
                <w:rFonts w:ascii="Arial" w:hAnsi="Arial" w:cs="Arial"/>
              </w:rPr>
            </w:pPr>
            <w:r>
              <w:rPr>
                <w:rFonts w:ascii="Arial" w:hAnsi="Arial" w:cs="Arial"/>
              </w:rPr>
              <w:t>Jean Knight</w:t>
            </w:r>
          </w:p>
        </w:tc>
      </w:tr>
    </w:tbl>
    <w:p w14:paraId="31DD4E84" w14:textId="77777777" w:rsidR="000A563E" w:rsidRPr="00B87319" w:rsidRDefault="000A563E" w:rsidP="000A563E">
      <w:pPr>
        <w:spacing w:after="0" w:line="240" w:lineRule="auto"/>
      </w:pPr>
    </w:p>
    <w:p w14:paraId="080D8664" w14:textId="77777777" w:rsidR="00AF68B3" w:rsidRDefault="00AF68B3" w:rsidP="000A563E">
      <w:pPr>
        <w:spacing w:after="0" w:line="240" w:lineRule="auto"/>
        <w:rPr>
          <w:rFonts w:ascii="Arial" w:hAnsi="Arial" w:cs="Arial"/>
          <w:b/>
        </w:rPr>
      </w:pPr>
    </w:p>
    <w:p w14:paraId="09E94E13" w14:textId="77777777" w:rsidR="00AF68B3" w:rsidRDefault="00AF68B3" w:rsidP="000A563E">
      <w:pPr>
        <w:spacing w:after="0" w:line="240" w:lineRule="auto"/>
        <w:rPr>
          <w:rFonts w:ascii="Arial" w:hAnsi="Arial" w:cs="Arial"/>
          <w:b/>
        </w:rPr>
      </w:pPr>
    </w:p>
    <w:p w14:paraId="5664D4AA" w14:textId="77777777" w:rsidR="000A563E" w:rsidRPr="000C115D" w:rsidRDefault="00A23E7A" w:rsidP="000A563E">
      <w:pPr>
        <w:spacing w:after="0" w:line="240" w:lineRule="auto"/>
        <w:rPr>
          <w:rFonts w:ascii="Arial" w:hAnsi="Arial" w:cs="Arial"/>
        </w:rPr>
      </w:pPr>
      <w:r w:rsidRPr="000C115D">
        <w:rPr>
          <w:rFonts w:ascii="Arial" w:hAnsi="Arial" w:cs="Arial"/>
          <w:b/>
        </w:rPr>
        <w:t>1.</w:t>
      </w:r>
      <w:r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is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Leicester is home to the state of the art Curve Theatre, as well as lar</w:t>
      </w:r>
      <w:r>
        <w:rPr>
          <w:rFonts w:ascii="Arial" w:hAnsi="Arial" w:cs="Arial"/>
        </w:rPr>
        <w:t>ge and multi-cultural festivals</w:t>
      </w:r>
      <w:r w:rsidRPr="003C7528">
        <w:rPr>
          <w:rFonts w:ascii="Arial" w:hAnsi="Arial" w:cs="Arial"/>
        </w:rPr>
        <w:t>. The City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Twinlakes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Pr="000C115D"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081382B1" w14:textId="77777777" w:rsidR="00FF01D4" w:rsidRDefault="00FF01D4" w:rsidP="00FF01D4">
      <w:pPr>
        <w:spacing w:after="0" w:line="240" w:lineRule="auto"/>
        <w:rPr>
          <w:rFonts w:ascii="Arial" w:hAnsi="Arial" w:cs="Arial"/>
          <w:b/>
          <w:u w:val="single"/>
        </w:rPr>
      </w:pPr>
    </w:p>
    <w:p w14:paraId="6F8987EE"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0A30A82E" w14:textId="77777777" w:rsidR="00FF01D4" w:rsidRDefault="00FF01D4" w:rsidP="00FF01D4">
      <w:pPr>
        <w:autoSpaceDE w:val="0"/>
        <w:autoSpaceDN w:val="0"/>
        <w:adjustRightInd w:val="0"/>
        <w:spacing w:after="0" w:line="240" w:lineRule="auto"/>
        <w:jc w:val="both"/>
        <w:rPr>
          <w:rFonts w:ascii="Arial" w:hAnsi="Arial" w:cs="Arial"/>
          <w:color w:val="000000"/>
        </w:rPr>
      </w:pPr>
    </w:p>
    <w:p w14:paraId="07B0A3C9"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1E881CE7"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66C99D50"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5FA4E645" w14:textId="77777777" w:rsidR="00FF01D4" w:rsidRPr="00813D39" w:rsidRDefault="00FF01D4" w:rsidP="00FF01D4">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Our strategy: Step up to Great</w:t>
      </w:r>
    </w:p>
    <w:p w14:paraId="5422C799" w14:textId="77777777" w:rsidR="00FF01D4" w:rsidRDefault="00FF01D4" w:rsidP="00FF01D4">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Quality and safety for all is our number one priority. We have strengthened our vision and strategy, to</w:t>
      </w:r>
      <w:r>
        <w:rPr>
          <w:rFonts w:ascii="Arial" w:hAnsi="Arial" w:cs="Arial"/>
          <w:color w:val="000000"/>
        </w:rPr>
        <w:t xml:space="preserve"> </w:t>
      </w:r>
      <w:r w:rsidRPr="00813D39">
        <w:rPr>
          <w:rFonts w:ascii="Arial" w:hAnsi="Arial" w:cs="Arial"/>
          <w:color w:val="000000"/>
        </w:rPr>
        <w:t>make our direction of travel as clear as possible for everyone. This has been brought together using</w:t>
      </w:r>
      <w:r>
        <w:rPr>
          <w:rFonts w:ascii="Arial" w:hAnsi="Arial" w:cs="Arial"/>
          <w:color w:val="000000"/>
        </w:rPr>
        <w:t xml:space="preserve"> </w:t>
      </w:r>
      <w:r w:rsidRPr="00813D39">
        <w:rPr>
          <w:rFonts w:ascii="Arial" w:hAnsi="Arial" w:cs="Arial"/>
          <w:color w:val="000000"/>
        </w:rPr>
        <w:t>feedback from staff, service users and stakeholders to evolve our work so far into a clearer trust-wide</w:t>
      </w:r>
      <w:r>
        <w:rPr>
          <w:rFonts w:ascii="Arial" w:hAnsi="Arial" w:cs="Arial"/>
          <w:color w:val="000000"/>
        </w:rPr>
        <w:t xml:space="preserve"> </w:t>
      </w:r>
      <w:r w:rsidRPr="00813D39">
        <w:rPr>
          <w:rFonts w:ascii="Arial" w:hAnsi="Arial" w:cs="Arial"/>
          <w:color w:val="000000"/>
        </w:rPr>
        <w:t>strategy for all areas: Step Up to Great.</w:t>
      </w:r>
    </w:p>
    <w:p w14:paraId="55500CF3" w14:textId="77777777" w:rsidR="00FF01D4" w:rsidRPr="00813D39" w:rsidRDefault="00FF01D4" w:rsidP="00FF01D4">
      <w:pPr>
        <w:autoSpaceDE w:val="0"/>
        <w:autoSpaceDN w:val="0"/>
        <w:adjustRightInd w:val="0"/>
        <w:spacing w:after="0" w:line="240" w:lineRule="auto"/>
        <w:jc w:val="both"/>
        <w:rPr>
          <w:rFonts w:ascii="Arial" w:hAnsi="Arial" w:cs="Arial"/>
          <w:color w:val="000000"/>
        </w:rPr>
      </w:pPr>
    </w:p>
    <w:p w14:paraId="7B0DB458" w14:textId="77777777" w:rsidR="00FF01D4" w:rsidRPr="00813D39" w:rsidRDefault="00FF01D4" w:rsidP="00FF01D4">
      <w:pPr>
        <w:autoSpaceDE w:val="0"/>
        <w:autoSpaceDN w:val="0"/>
        <w:adjustRightInd w:val="0"/>
        <w:spacing w:after="0" w:line="240" w:lineRule="auto"/>
        <w:jc w:val="both"/>
        <w:rPr>
          <w:rFonts w:ascii="Arial" w:hAnsi="Arial" w:cs="Arial"/>
          <w:b/>
          <w:u w:val="single"/>
        </w:rPr>
      </w:pPr>
      <w:r w:rsidRPr="00813D39">
        <w:rPr>
          <w:rFonts w:ascii="Arial" w:hAnsi="Arial" w:cs="Arial"/>
          <w:color w:val="000000"/>
        </w:rPr>
        <w:t>Through Step Up to Great we have identified key priority areas to focus on together. Our Step up to</w:t>
      </w:r>
      <w:r>
        <w:rPr>
          <w:rFonts w:ascii="Arial" w:hAnsi="Arial" w:cs="Arial"/>
          <w:color w:val="000000"/>
        </w:rPr>
        <w:t xml:space="preserve"> </w:t>
      </w:r>
      <w:r w:rsidRPr="00813D39">
        <w:rPr>
          <w:rFonts w:ascii="Arial" w:hAnsi="Arial" w:cs="Arial"/>
          <w:color w:val="000000"/>
        </w:rPr>
        <w:t>Great Mental Health plan for adult and older people’s services is one of these priority areas of</w:t>
      </w:r>
      <w:r>
        <w:rPr>
          <w:rFonts w:ascii="Arial" w:hAnsi="Arial" w:cs="Arial"/>
          <w:color w:val="000000"/>
        </w:rPr>
        <w:t xml:space="preserve"> </w:t>
      </w:r>
      <w:r w:rsidRPr="00813D39">
        <w:rPr>
          <w:rFonts w:ascii="Arial" w:hAnsi="Arial" w:cs="Arial"/>
          <w:color w:val="000000"/>
        </w:rPr>
        <w:t>transformation. It will be shaped by operational and clinical leaders, in collaboration with our staff,</w:t>
      </w:r>
      <w:r>
        <w:rPr>
          <w:rFonts w:ascii="Arial" w:hAnsi="Arial" w:cs="Arial"/>
          <w:color w:val="000000"/>
        </w:rPr>
        <w:t xml:space="preserve"> </w:t>
      </w:r>
      <w:r w:rsidRPr="00813D39">
        <w:rPr>
          <w:rFonts w:ascii="Arial" w:hAnsi="Arial" w:cs="Arial"/>
          <w:color w:val="000000"/>
        </w:rPr>
        <w:t>supported by the transformation team to ensure that we put these service improvements into practice</w:t>
      </w:r>
      <w:r>
        <w:rPr>
          <w:rFonts w:ascii="Arial" w:hAnsi="Arial" w:cs="Arial"/>
          <w:color w:val="000000"/>
        </w:rPr>
        <w:t xml:space="preserve"> </w:t>
      </w:r>
      <w:r w:rsidRPr="00813D39">
        <w:rPr>
          <w:rFonts w:ascii="Arial" w:hAnsi="Arial" w:cs="Arial"/>
          <w:color w:val="000000"/>
        </w:rPr>
        <w:t xml:space="preserve">over the coming few years. </w:t>
      </w:r>
      <w:r>
        <w:rPr>
          <w:rFonts w:ascii="Arial" w:hAnsi="Arial" w:cs="Arial"/>
          <w:color w:val="000000"/>
        </w:rPr>
        <w:t xml:space="preserve"> W</w:t>
      </w:r>
      <w:r w:rsidRPr="00813D39">
        <w:rPr>
          <w:rFonts w:ascii="Arial" w:hAnsi="Arial" w:cs="Arial"/>
          <w:color w:val="000000"/>
        </w:rPr>
        <w:t>e are clear that by doing this it will help us achieve improvements in</w:t>
      </w:r>
      <w:r>
        <w:rPr>
          <w:rFonts w:ascii="Arial" w:hAnsi="Arial" w:cs="Arial"/>
          <w:color w:val="000000"/>
        </w:rPr>
        <w:t xml:space="preserve"> </w:t>
      </w:r>
      <w:r w:rsidRPr="00813D39">
        <w:rPr>
          <w:rFonts w:ascii="Arial" w:hAnsi="Arial" w:cs="Arial"/>
          <w:color w:val="000000"/>
        </w:rPr>
        <w:t>the quality and safety of our services. It is about making a real and sustainable difference for our patients</w:t>
      </w:r>
      <w:r>
        <w:rPr>
          <w:rFonts w:ascii="Arial" w:hAnsi="Arial" w:cs="Arial"/>
          <w:color w:val="000000"/>
        </w:rPr>
        <w:t xml:space="preserve"> </w:t>
      </w:r>
      <w:r w:rsidRPr="00813D39">
        <w:rPr>
          <w:rFonts w:ascii="Arial" w:hAnsi="Arial" w:cs="Arial"/>
          <w:color w:val="000000"/>
        </w:rPr>
        <w:t>and supporting our staff to deliver high standards of care every day.</w:t>
      </w:r>
    </w:p>
    <w:p w14:paraId="57CC8DA7" w14:textId="77777777" w:rsidR="00FF01D4" w:rsidRPr="00813D39" w:rsidRDefault="00FF01D4" w:rsidP="00FF01D4">
      <w:pPr>
        <w:spacing w:after="0" w:line="240" w:lineRule="auto"/>
        <w:jc w:val="both"/>
        <w:rPr>
          <w:rFonts w:ascii="Arial" w:hAnsi="Arial" w:cs="Arial"/>
          <w:b/>
          <w:u w:val="single"/>
        </w:rPr>
      </w:pPr>
    </w:p>
    <w:p w14:paraId="5D6318E8" w14:textId="77777777" w:rsidR="008E1D15" w:rsidRDefault="00FF01D4" w:rsidP="00FF01D4">
      <w:pPr>
        <w:spacing w:after="0" w:line="240" w:lineRule="auto"/>
        <w:jc w:val="both"/>
        <w:rPr>
          <w:rFonts w:ascii="Arial" w:eastAsia="Calibri" w:hAnsi="Arial" w:cs="Arial"/>
        </w:rPr>
      </w:pPr>
      <w:r w:rsidRPr="00E16462">
        <w:rPr>
          <w:rFonts w:ascii="Arial" w:eastAsia="Calibri" w:hAnsi="Arial" w:cs="Arial"/>
        </w:rPr>
        <w:t>LPT is also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Demontfort University and Loughborough University</w:t>
      </w:r>
      <w:r w:rsidRPr="00E16462">
        <w:rPr>
          <w:rFonts w:ascii="Arial" w:eastAsia="Calibri" w:hAnsi="Arial" w:cs="Arial"/>
        </w:rPr>
        <w:t xml:space="preserve"> to deliver effective pre and post-registration education and learning </w:t>
      </w:r>
      <w:r>
        <w:rPr>
          <w:rFonts w:ascii="Arial" w:eastAsia="Calibri" w:hAnsi="Arial" w:cs="Arial"/>
        </w:rPr>
        <w:t>o</w:t>
      </w:r>
      <w:r w:rsidRPr="00E16462">
        <w:rPr>
          <w:rFonts w:ascii="Arial" w:eastAsia="Calibri" w:hAnsi="Arial" w:cs="Arial"/>
        </w:rPr>
        <w:t>pportunities</w:t>
      </w:r>
    </w:p>
    <w:p w14:paraId="3DBF62EF" w14:textId="75BD4035" w:rsidR="008E1D15" w:rsidRDefault="008E1D15" w:rsidP="008A62B8">
      <w:pPr>
        <w:spacing w:after="0" w:line="240" w:lineRule="auto"/>
        <w:jc w:val="both"/>
        <w:rPr>
          <w:noProof/>
          <w:lang w:eastAsia="en-GB"/>
        </w:rPr>
      </w:pPr>
    </w:p>
    <w:p w14:paraId="785522C4" w14:textId="787C9597" w:rsidR="00C4793C" w:rsidRDefault="00C4793C" w:rsidP="008A62B8">
      <w:pPr>
        <w:spacing w:after="0" w:line="240" w:lineRule="auto"/>
        <w:jc w:val="both"/>
        <w:rPr>
          <w:noProof/>
          <w:lang w:eastAsia="en-GB"/>
        </w:rPr>
      </w:pPr>
      <w:r w:rsidRPr="00C4793C">
        <w:rPr>
          <w:noProof/>
          <w:lang w:eastAsia="en-GB"/>
        </w:rPr>
        <w:drawing>
          <wp:inline distT="0" distB="0" distL="0" distR="0" wp14:anchorId="5E83A9A1" wp14:editId="5D0F0708">
            <wp:extent cx="5918788" cy="37528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1004" cy="3754255"/>
                    </a:xfrm>
                    <a:prstGeom prst="rect">
                      <a:avLst/>
                    </a:prstGeom>
                  </pic:spPr>
                </pic:pic>
              </a:graphicData>
            </a:graphic>
          </wp:inline>
        </w:drawing>
      </w:r>
    </w:p>
    <w:p w14:paraId="645877EE" w14:textId="77777777" w:rsidR="00C4793C" w:rsidRDefault="00C4793C" w:rsidP="008A62B8">
      <w:pPr>
        <w:spacing w:after="0" w:line="240" w:lineRule="auto"/>
        <w:jc w:val="both"/>
        <w:rPr>
          <w:rFonts w:ascii="Arial" w:eastAsia="Times New Roman" w:hAnsi="Arial" w:cs="Arial"/>
          <w:lang w:eastAsia="en-GB"/>
        </w:rPr>
      </w:pPr>
    </w:p>
    <w:p w14:paraId="72433ED1" w14:textId="77777777" w:rsidR="00E16462" w:rsidRDefault="00E16462" w:rsidP="008A62B8">
      <w:pPr>
        <w:spacing w:after="0" w:line="240" w:lineRule="auto"/>
        <w:jc w:val="both"/>
        <w:rPr>
          <w:rFonts w:ascii="Arial" w:eastAsia="Times New Roman" w:hAnsi="Arial" w:cs="Arial"/>
          <w:lang w:eastAsia="en-GB"/>
        </w:rPr>
      </w:pPr>
    </w:p>
    <w:p w14:paraId="009F70D9" w14:textId="77777777" w:rsidR="00E7797F" w:rsidRDefault="00E7797F" w:rsidP="00E7797F">
      <w:pPr>
        <w:spacing w:line="240" w:lineRule="auto"/>
        <w:jc w:val="both"/>
        <w:rPr>
          <w:rFonts w:ascii="Arial" w:hAnsi="Arial" w:cs="Arial"/>
        </w:rPr>
      </w:pPr>
    </w:p>
    <w:p w14:paraId="11B15F41" w14:textId="15628BF2" w:rsidR="00E7797F" w:rsidRPr="00A661AF" w:rsidRDefault="00E7797F" w:rsidP="00E7797F">
      <w:pPr>
        <w:spacing w:line="240" w:lineRule="auto"/>
        <w:jc w:val="both"/>
        <w:rPr>
          <w:rFonts w:ascii="Arial" w:hAnsi="Arial" w:cs="Arial"/>
        </w:rPr>
      </w:pPr>
      <w:r w:rsidRPr="00A661AF">
        <w:rPr>
          <w:rFonts w:ascii="Arial" w:hAnsi="Arial" w:cs="Arial"/>
        </w:rPr>
        <w:t>‘Our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entered into a Group arrangement in April 2021 following a successful buddy relationship.</w:t>
      </w:r>
    </w:p>
    <w:p w14:paraId="5C9FFDE7" w14:textId="77777777" w:rsidR="00E7797F" w:rsidRPr="00A661AF" w:rsidRDefault="00E7797F" w:rsidP="00E7797F">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202E50CD" w14:textId="77777777" w:rsidR="00FF01D4" w:rsidRDefault="00FF01D4" w:rsidP="00FF01D4">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achieved an overall rating of ‘Outstanding’ from the CQC and also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2BDE955A" w14:textId="77777777" w:rsidR="00FF01D4" w:rsidRPr="00C019B9" w:rsidRDefault="00FF01D4" w:rsidP="00FF01D4">
      <w:pPr>
        <w:autoSpaceDE w:val="0"/>
        <w:autoSpaceDN w:val="0"/>
        <w:adjustRightInd w:val="0"/>
        <w:spacing w:after="0" w:line="240" w:lineRule="auto"/>
        <w:rPr>
          <w:rFonts w:ascii="Arial" w:hAnsi="Arial" w:cs="Arial"/>
        </w:rPr>
      </w:pPr>
    </w:p>
    <w:bookmarkEnd w:id="0"/>
    <w:p w14:paraId="15145F1C" w14:textId="77777777" w:rsidR="008B2523" w:rsidRDefault="008B2523" w:rsidP="008B2523">
      <w:pPr>
        <w:spacing w:after="0" w:line="240" w:lineRule="auto"/>
        <w:jc w:val="both"/>
        <w:rPr>
          <w:rFonts w:ascii="Arial" w:hAnsi="Arial" w:cs="Arial"/>
        </w:rPr>
      </w:pPr>
      <w:r>
        <w:rPr>
          <w:rFonts w:ascii="Arial" w:hAnsi="Arial" w:cs="Arial"/>
        </w:rPr>
        <w:t>As an employee of Leicestershire Partnership NHS Trust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lastRenderedPageBreak/>
        <w:t>See Appendix 1</w:t>
      </w:r>
      <w:r w:rsidR="00DA0838">
        <w:rPr>
          <w:rFonts w:ascii="Arial" w:hAnsi="Arial" w:cs="Arial"/>
        </w:rPr>
        <w:t xml:space="preserve"> for further information.</w:t>
      </w:r>
    </w:p>
    <w:p w14:paraId="584004C4" w14:textId="77777777" w:rsidR="003265B8" w:rsidRDefault="003265B8" w:rsidP="000A563E">
      <w:pPr>
        <w:spacing w:after="0" w:line="240" w:lineRule="auto"/>
        <w:rPr>
          <w:rFonts w:ascii="Arial" w:hAnsi="Arial" w:cs="Arial"/>
          <w:b/>
        </w:rPr>
      </w:pPr>
    </w:p>
    <w:p w14:paraId="527A8201" w14:textId="49B2F5E1" w:rsidR="008864E2" w:rsidRDefault="008864E2">
      <w:pPr>
        <w:rPr>
          <w:rFonts w:ascii="Arial" w:hAnsi="Arial" w:cs="Arial"/>
          <w:b/>
        </w:rPr>
      </w:pPr>
    </w:p>
    <w:p w14:paraId="4B25C1B9" w14:textId="796FD63B" w:rsidR="006332C6" w:rsidRPr="000C115D" w:rsidRDefault="00A23E7A" w:rsidP="000A563E">
      <w:pPr>
        <w:spacing w:after="0" w:line="240" w:lineRule="auto"/>
        <w:rPr>
          <w:rFonts w:ascii="Arial" w:hAnsi="Arial" w:cs="Arial"/>
        </w:rPr>
      </w:pPr>
      <w:r w:rsidRPr="000C115D">
        <w:rPr>
          <w:rFonts w:ascii="Arial" w:hAnsi="Arial" w:cs="Arial"/>
          <w:b/>
        </w:rPr>
        <w:t>3.</w:t>
      </w:r>
      <w:r w:rsidRPr="000C115D">
        <w:rPr>
          <w:rFonts w:ascii="Arial" w:hAnsi="Arial" w:cs="Arial"/>
          <w:b/>
        </w:rPr>
        <w:tab/>
      </w:r>
      <w:r w:rsidR="008E1D15">
        <w:rPr>
          <w:rFonts w:ascii="Arial" w:hAnsi="Arial" w:cs="Arial"/>
          <w:b/>
          <w:u w:val="single"/>
        </w:rPr>
        <w:t>Details of the service and team</w:t>
      </w:r>
    </w:p>
    <w:p w14:paraId="0285AFD3" w14:textId="77777777" w:rsidR="006332C6" w:rsidRPr="000C115D" w:rsidRDefault="006332C6" w:rsidP="000A563E">
      <w:pPr>
        <w:spacing w:after="0" w:line="240" w:lineRule="auto"/>
        <w:rPr>
          <w:rFonts w:ascii="Arial" w:hAnsi="Arial" w:cs="Arial"/>
        </w:rPr>
      </w:pPr>
    </w:p>
    <w:p w14:paraId="305A1AD8" w14:textId="77777777" w:rsidR="00FA3A9C" w:rsidRPr="000F7CA8" w:rsidRDefault="00FA3A9C" w:rsidP="00FA3A9C">
      <w:pPr>
        <w:spacing w:after="0" w:line="240" w:lineRule="auto"/>
        <w:jc w:val="both"/>
        <w:rPr>
          <w:rFonts w:ascii="Arial" w:hAnsi="Arial" w:cs="Arial"/>
        </w:rPr>
      </w:pPr>
      <w:r w:rsidRPr="000F7CA8">
        <w:rPr>
          <w:rFonts w:ascii="Arial" w:hAnsi="Arial" w:cs="Arial"/>
        </w:rPr>
        <w:t>Mental Health Services for Older People is a special</w:t>
      </w:r>
      <w:r>
        <w:rPr>
          <w:rFonts w:ascii="Arial" w:hAnsi="Arial" w:cs="Arial"/>
        </w:rPr>
        <w:t>ist service within the Mental</w:t>
      </w:r>
      <w:r w:rsidRPr="000F7CA8">
        <w:rPr>
          <w:rFonts w:ascii="Arial" w:hAnsi="Arial" w:cs="Arial"/>
        </w:rPr>
        <w:t xml:space="preserve"> Health </w:t>
      </w:r>
      <w:r>
        <w:rPr>
          <w:rFonts w:ascii="Arial" w:hAnsi="Arial" w:cs="Arial"/>
        </w:rPr>
        <w:t>Directorate</w:t>
      </w:r>
      <w:r w:rsidRPr="000F7CA8">
        <w:rPr>
          <w:rFonts w:ascii="Arial" w:hAnsi="Arial" w:cs="Arial"/>
        </w:rPr>
        <w:t>.  The Clinical D</w:t>
      </w:r>
      <w:r>
        <w:rPr>
          <w:rFonts w:ascii="Arial" w:hAnsi="Arial" w:cs="Arial"/>
        </w:rPr>
        <w:t>irector and Line Manager for the post is</w:t>
      </w:r>
      <w:r w:rsidRPr="000F7CA8">
        <w:rPr>
          <w:rFonts w:ascii="Arial" w:hAnsi="Arial" w:cs="Arial"/>
        </w:rPr>
        <w:t xml:space="preserve"> Dr </w:t>
      </w:r>
      <w:r>
        <w:rPr>
          <w:rFonts w:ascii="Arial" w:hAnsi="Arial" w:cs="Arial"/>
        </w:rPr>
        <w:t>Charlotte Messer</w:t>
      </w:r>
      <w:r w:rsidRPr="000F7CA8">
        <w:rPr>
          <w:rFonts w:ascii="Arial" w:hAnsi="Arial" w:cs="Arial"/>
        </w:rPr>
        <w:t xml:space="preserve">.  </w:t>
      </w:r>
    </w:p>
    <w:p w14:paraId="0BC4AEBB" w14:textId="77777777" w:rsidR="00FA3A9C" w:rsidRPr="000F7CA8" w:rsidRDefault="00FA3A9C" w:rsidP="00FA3A9C">
      <w:pPr>
        <w:spacing w:after="0" w:line="240" w:lineRule="auto"/>
        <w:jc w:val="both"/>
        <w:rPr>
          <w:rFonts w:ascii="Arial" w:hAnsi="Arial" w:cs="Arial"/>
        </w:rPr>
      </w:pPr>
    </w:p>
    <w:p w14:paraId="137002BE" w14:textId="77777777" w:rsidR="00FA3A9C" w:rsidRDefault="00FA3A9C" w:rsidP="00FA3A9C">
      <w:pPr>
        <w:spacing w:after="0" w:line="240" w:lineRule="auto"/>
        <w:jc w:val="both"/>
        <w:rPr>
          <w:rFonts w:ascii="Arial" w:hAnsi="Arial" w:cs="Arial"/>
        </w:rPr>
      </w:pPr>
      <w:r w:rsidRPr="000F7CA8">
        <w:rPr>
          <w:rFonts w:ascii="Arial" w:hAnsi="Arial" w:cs="Arial"/>
        </w:rPr>
        <w:t xml:space="preserve">This post is a </w:t>
      </w:r>
      <w:r>
        <w:rPr>
          <w:rFonts w:ascii="Arial" w:hAnsi="Arial" w:cs="Arial"/>
        </w:rPr>
        <w:t>Community post providing senior medical input to the South Leicestershire CMHT based in the Neville Centre, Leicester General Hospital with remote clinics at community hospitals.</w:t>
      </w:r>
    </w:p>
    <w:p w14:paraId="4B25FF73" w14:textId="77777777" w:rsidR="00FA3A9C" w:rsidRDefault="00FA3A9C" w:rsidP="00FA3A9C">
      <w:pPr>
        <w:spacing w:after="0" w:line="240" w:lineRule="auto"/>
        <w:jc w:val="both"/>
        <w:rPr>
          <w:rFonts w:ascii="Arial" w:hAnsi="Arial" w:cs="Arial"/>
        </w:rPr>
      </w:pPr>
    </w:p>
    <w:p w14:paraId="0BC5C31C" w14:textId="77777777" w:rsidR="00FA3A9C" w:rsidRDefault="00FA3A9C" w:rsidP="00FA3A9C">
      <w:pPr>
        <w:spacing w:after="0" w:line="240" w:lineRule="auto"/>
        <w:jc w:val="both"/>
        <w:rPr>
          <w:rFonts w:ascii="Arial" w:hAnsi="Arial" w:cs="Arial"/>
        </w:rPr>
      </w:pPr>
      <w:r w:rsidRPr="00243A76">
        <w:rPr>
          <w:rFonts w:ascii="Arial" w:hAnsi="Arial" w:cs="Arial"/>
        </w:rPr>
        <w:t xml:space="preserve">With a population of approximately </w:t>
      </w:r>
      <w:r>
        <w:rPr>
          <w:rFonts w:ascii="Arial" w:hAnsi="Arial" w:cs="Arial"/>
        </w:rPr>
        <w:t>32,654</w:t>
      </w:r>
      <w:r w:rsidRPr="00243A76">
        <w:rPr>
          <w:rFonts w:ascii="Arial" w:hAnsi="Arial" w:cs="Arial"/>
        </w:rPr>
        <w:t xml:space="preserve"> &gt;65’s, </w:t>
      </w:r>
      <w:r>
        <w:rPr>
          <w:rFonts w:ascii="Arial" w:hAnsi="Arial" w:cs="Arial"/>
        </w:rPr>
        <w:t>South Leicestershire</w:t>
      </w:r>
      <w:r w:rsidRPr="00243A76">
        <w:rPr>
          <w:rFonts w:ascii="Arial" w:hAnsi="Arial" w:cs="Arial"/>
        </w:rPr>
        <w:t xml:space="preserve"> accounts for approximately </w:t>
      </w:r>
      <w:r>
        <w:rPr>
          <w:rFonts w:ascii="Arial" w:hAnsi="Arial" w:cs="Arial"/>
        </w:rPr>
        <w:t>11</w:t>
      </w:r>
      <w:r w:rsidRPr="00243A76">
        <w:rPr>
          <w:rFonts w:ascii="Arial" w:hAnsi="Arial" w:cs="Arial"/>
        </w:rPr>
        <w:t>% of all referrals to MHSOP</w:t>
      </w:r>
      <w:r>
        <w:rPr>
          <w:rFonts w:ascii="Arial" w:hAnsi="Arial" w:cs="Arial"/>
        </w:rPr>
        <w:t xml:space="preserve"> and approximately 5 referrals a week are allocated to outpatients.  T</w:t>
      </w:r>
      <w:r w:rsidRPr="00243A76">
        <w:rPr>
          <w:rFonts w:ascii="Arial" w:hAnsi="Arial" w:cs="Arial"/>
        </w:rPr>
        <w:t xml:space="preserve">here is also </w:t>
      </w:r>
      <w:r>
        <w:rPr>
          <w:rFonts w:ascii="Arial" w:hAnsi="Arial" w:cs="Arial"/>
        </w:rPr>
        <w:t xml:space="preserve">the possibility of </w:t>
      </w:r>
      <w:r w:rsidRPr="00243A76">
        <w:rPr>
          <w:rFonts w:ascii="Arial" w:hAnsi="Arial" w:cs="Arial"/>
        </w:rPr>
        <w:t>support from higher trainees.  The post holder would</w:t>
      </w:r>
      <w:r>
        <w:rPr>
          <w:rFonts w:ascii="Arial" w:hAnsi="Arial" w:cs="Arial"/>
        </w:rPr>
        <w:t xml:space="preserve"> be expected to see on average 2-3</w:t>
      </w:r>
      <w:r w:rsidRPr="00243A76">
        <w:rPr>
          <w:rFonts w:ascii="Arial" w:hAnsi="Arial" w:cs="Arial"/>
        </w:rPr>
        <w:t xml:space="preserve"> new community patients per week plus follow ups and urgent assessments for the </w:t>
      </w:r>
      <w:r>
        <w:rPr>
          <w:rFonts w:ascii="Arial" w:hAnsi="Arial" w:cs="Arial"/>
        </w:rPr>
        <w:t>South Leicestershire</w:t>
      </w:r>
      <w:r w:rsidRPr="00243A76">
        <w:rPr>
          <w:rFonts w:ascii="Arial" w:hAnsi="Arial" w:cs="Arial"/>
        </w:rPr>
        <w:t xml:space="preserve"> CMHT.</w:t>
      </w:r>
    </w:p>
    <w:p w14:paraId="3CDAC4F7" w14:textId="77777777" w:rsidR="00FA3A9C" w:rsidRDefault="00FA3A9C" w:rsidP="00FA3A9C">
      <w:pPr>
        <w:spacing w:after="0" w:line="240" w:lineRule="auto"/>
        <w:jc w:val="both"/>
        <w:rPr>
          <w:rFonts w:ascii="Arial" w:hAnsi="Arial" w:cs="Arial"/>
        </w:rPr>
      </w:pPr>
    </w:p>
    <w:p w14:paraId="2FC30F9F" w14:textId="77777777" w:rsidR="00FA3A9C" w:rsidRDefault="00FA3A9C" w:rsidP="00FA3A9C">
      <w:pPr>
        <w:spacing w:after="0" w:line="240" w:lineRule="auto"/>
        <w:jc w:val="both"/>
        <w:rPr>
          <w:rFonts w:ascii="Arial" w:hAnsi="Arial" w:cs="Arial"/>
        </w:rPr>
      </w:pPr>
      <w:r>
        <w:rPr>
          <w:rFonts w:ascii="Arial" w:hAnsi="Arial" w:cs="Arial"/>
        </w:rPr>
        <w:t>South Leicestershire</w:t>
      </w:r>
      <w:r w:rsidRPr="000F7CA8">
        <w:rPr>
          <w:rFonts w:ascii="Arial" w:hAnsi="Arial" w:cs="Arial"/>
        </w:rPr>
        <w:t xml:space="preserve"> CMHT for Older People is an established team with a good understanding of multidisciplinary working and a high level of experience.  </w:t>
      </w:r>
      <w:r>
        <w:rPr>
          <w:rFonts w:ascii="Arial" w:hAnsi="Arial" w:cs="Arial"/>
        </w:rPr>
        <w:t>Another WTE equivalent consultant who does approximately half of their sessions in South Leicestershire will work alongside the post holder.  The team consists of 0.5 WTE Band 7 CPN</w:t>
      </w:r>
      <w:r w:rsidRPr="000F7CA8">
        <w:rPr>
          <w:rFonts w:ascii="Arial" w:hAnsi="Arial" w:cs="Arial"/>
        </w:rPr>
        <w:t xml:space="preserve"> and </w:t>
      </w:r>
      <w:r w:rsidRPr="009D2FDC">
        <w:rPr>
          <w:rFonts w:ascii="Arial" w:hAnsi="Arial" w:cs="Arial"/>
        </w:rPr>
        <w:t>4.6 Band 6 RMNs, 2.0 Band 5 RMNs, 2.0 Band 3 HCSWs</w:t>
      </w:r>
      <w:r>
        <w:rPr>
          <w:rFonts w:ascii="Arial" w:hAnsi="Arial" w:cs="Arial"/>
        </w:rPr>
        <w:t>, 0.64</w:t>
      </w:r>
      <w:r w:rsidRPr="00F979CC">
        <w:rPr>
          <w:rFonts w:ascii="Arial" w:hAnsi="Arial" w:cs="Arial"/>
        </w:rPr>
        <w:t xml:space="preserve"> Band 6 OT and support from physiotherapy.  There is also a dedicated psychologist linked to the team.</w:t>
      </w:r>
    </w:p>
    <w:p w14:paraId="693B2312" w14:textId="77777777" w:rsidR="00FA3A9C" w:rsidRDefault="00FA3A9C" w:rsidP="00FA3A9C">
      <w:pPr>
        <w:spacing w:after="0" w:line="240" w:lineRule="auto"/>
        <w:jc w:val="both"/>
        <w:rPr>
          <w:rFonts w:ascii="Arial" w:hAnsi="Arial" w:cs="Arial"/>
        </w:rPr>
      </w:pPr>
    </w:p>
    <w:p w14:paraId="75258800" w14:textId="07F234EE" w:rsidR="000E7CFD" w:rsidRPr="00655999" w:rsidRDefault="00C76347" w:rsidP="00FA3A9C">
      <w:pPr>
        <w:spacing w:after="0" w:line="240" w:lineRule="auto"/>
        <w:jc w:val="both"/>
        <w:rPr>
          <w:rFonts w:ascii="Arial" w:hAnsi="Arial" w:cs="Arial"/>
        </w:rPr>
      </w:pPr>
      <w:bookmarkStart w:id="1" w:name="_Hlk156058339"/>
      <w:r>
        <w:rPr>
          <w:rFonts w:ascii="Arial" w:hAnsi="Arial" w:cs="Arial"/>
        </w:rPr>
        <w:t xml:space="preserve">The South Leicestershire and Melton, Rutland and Harborough CMHTs will be reconfigured later in the </w:t>
      </w:r>
      <w:r w:rsidRPr="00655999">
        <w:rPr>
          <w:rFonts w:ascii="Arial" w:hAnsi="Arial" w:cs="Arial"/>
        </w:rPr>
        <w:t>year as part of the Neighbourhood Transformation process which will result in changes to how the community teams are divided. Our service will go from 6 CMHTs to 8 Neighbourhood teams.</w:t>
      </w:r>
      <w:r w:rsidR="00655999" w:rsidRPr="00655999">
        <w:rPr>
          <w:rFonts w:ascii="Arial" w:hAnsi="Arial" w:cs="Arial"/>
        </w:rPr>
        <w:t xml:space="preserve"> This post holder will be working in the new Blaby Lutterworth Neighbourhood which is part of the current South Leicestershire CMHT.</w:t>
      </w:r>
    </w:p>
    <w:p w14:paraId="7B43DA95" w14:textId="77777777" w:rsidR="00C76347" w:rsidRPr="00655999" w:rsidRDefault="00C76347" w:rsidP="000E7CFD">
      <w:pPr>
        <w:spacing w:after="0" w:line="240" w:lineRule="auto"/>
        <w:rPr>
          <w:rFonts w:ascii="Arial" w:eastAsia="Arial Unicode MS" w:hAnsi="Arial Unicode MS" w:cs="Times New Roman"/>
          <w:szCs w:val="20"/>
          <w:lang w:eastAsia="en-GB"/>
        </w:rPr>
      </w:pPr>
    </w:p>
    <w:p w14:paraId="656CC123" w14:textId="77777777" w:rsidR="00C76347" w:rsidRPr="00655999" w:rsidRDefault="00C76347" w:rsidP="00C76347">
      <w:pPr>
        <w:spacing w:after="0" w:line="240" w:lineRule="auto"/>
        <w:rPr>
          <w:rFonts w:ascii="Arial" w:hAnsi="Arial" w:cs="Arial"/>
        </w:rPr>
      </w:pPr>
      <w:r w:rsidRPr="00655999">
        <w:rPr>
          <w:rFonts w:ascii="Arial" w:eastAsia="Arial Unicode MS" w:hAnsi="Arial Unicode MS" w:cs="Times New Roman"/>
          <w:szCs w:val="20"/>
          <w:lang w:eastAsia="en-GB"/>
        </w:rPr>
        <w:t>Training grade doctors will be allocated to the team as part of their Foundation, Core or Specialty Training Programme. The post holder will be expected to be a Clinical and/or Educational supervisor for training grade doctors, e.g. Foundation, Core or Specialty Trainees.</w:t>
      </w:r>
    </w:p>
    <w:p w14:paraId="3DCED68B" w14:textId="77777777" w:rsidR="000E7CFD" w:rsidRPr="00721892" w:rsidRDefault="000E7CFD" w:rsidP="00FA3A9C">
      <w:pPr>
        <w:spacing w:after="0" w:line="240" w:lineRule="auto"/>
        <w:jc w:val="both"/>
        <w:rPr>
          <w:rFonts w:ascii="Arial" w:hAnsi="Arial" w:cs="Arial"/>
          <w:color w:val="000000" w:themeColor="text1"/>
        </w:rPr>
      </w:pPr>
    </w:p>
    <w:bookmarkEnd w:id="1"/>
    <w:p w14:paraId="284C7E2E" w14:textId="77777777" w:rsidR="00FA3A9C" w:rsidRDefault="00FA3A9C" w:rsidP="00FA3A9C">
      <w:pPr>
        <w:spacing w:after="0" w:line="240" w:lineRule="auto"/>
        <w:jc w:val="both"/>
        <w:rPr>
          <w:rFonts w:ascii="Arial" w:hAnsi="Arial" w:cs="Arial"/>
        </w:rPr>
      </w:pPr>
    </w:p>
    <w:p w14:paraId="1991854D" w14:textId="77777777" w:rsidR="00FA3A9C" w:rsidRDefault="00FA3A9C" w:rsidP="00FA3A9C">
      <w:pPr>
        <w:spacing w:after="0" w:line="240" w:lineRule="auto"/>
        <w:jc w:val="both"/>
        <w:rPr>
          <w:rFonts w:ascii="Arial" w:hAnsi="Arial" w:cs="Arial"/>
        </w:rPr>
      </w:pPr>
      <w:r>
        <w:rPr>
          <w:rFonts w:ascii="Arial" w:hAnsi="Arial" w:cs="Arial"/>
        </w:rPr>
        <w:t>The MHSOP service consists of:</w:t>
      </w:r>
    </w:p>
    <w:p w14:paraId="7EB3A599" w14:textId="77777777" w:rsidR="00FA3A9C" w:rsidRDefault="00FA3A9C" w:rsidP="00FA3A9C">
      <w:pPr>
        <w:spacing w:after="0" w:line="240" w:lineRule="auto"/>
        <w:jc w:val="both"/>
        <w:rPr>
          <w:rFonts w:ascii="Arial" w:hAnsi="Arial" w:cs="Arial"/>
        </w:rPr>
      </w:pPr>
    </w:p>
    <w:p w14:paraId="4CE4DB7D"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A Central Referral Hub and Unscheduled Care Service to triage and assess all urgent assessments.  The Unscheduled Care Service will also provide urgent nurse led assessments of patient who are open to outpatients and deteriorate requiring more urgent assessment.</w:t>
      </w:r>
    </w:p>
    <w:p w14:paraId="02C51C76"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6 CMHT localities managing patients with functional mental illness and more severe dementia with BPSD.</w:t>
      </w:r>
    </w:p>
    <w:p w14:paraId="5EE18A5F"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Memory Assessment Service for all assessments of over 65’s with suspected dementia</w:t>
      </w:r>
    </w:p>
    <w:p w14:paraId="0D863E80"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Young Onset Dementia Assessment Service for under 65’s with suspected dementia</w:t>
      </w:r>
    </w:p>
    <w:p w14:paraId="721872C3"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Care Home In Reach Team to prevent admissions of organic patients from care homes and provide mental health assessment and treatment in community hospital settings</w:t>
      </w:r>
    </w:p>
    <w:p w14:paraId="2EF7A0DF"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Mental Health Liaison Service for Older People to the acute hospitals</w:t>
      </w:r>
    </w:p>
    <w:p w14:paraId="6CE35291"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Functional inpatient wards (Kirby and Aston) at the Bennion Centre, Glenfield Hospital</w:t>
      </w:r>
    </w:p>
    <w:p w14:paraId="67E3706C" w14:textId="77777777" w:rsidR="00FA3A9C" w:rsidRDefault="00FA3A9C" w:rsidP="00FA3A9C">
      <w:pPr>
        <w:pStyle w:val="ListParagraph"/>
        <w:numPr>
          <w:ilvl w:val="0"/>
          <w:numId w:val="40"/>
        </w:numPr>
        <w:spacing w:after="0" w:line="240" w:lineRule="auto"/>
        <w:jc w:val="both"/>
        <w:rPr>
          <w:rFonts w:ascii="Arial" w:hAnsi="Arial" w:cs="Arial"/>
        </w:rPr>
      </w:pPr>
      <w:r>
        <w:rPr>
          <w:rFonts w:ascii="Arial" w:hAnsi="Arial" w:cs="Arial"/>
        </w:rPr>
        <w:t>Organic inpatient wards (Wakerley and Coleman) at the Evington Centre, Leicester General Hospital</w:t>
      </w:r>
    </w:p>
    <w:p w14:paraId="1B5CC0DE" w14:textId="77777777" w:rsidR="00FA3A9C" w:rsidRDefault="00FA3A9C" w:rsidP="00FA3A9C">
      <w:pPr>
        <w:spacing w:after="0" w:line="240" w:lineRule="auto"/>
        <w:rPr>
          <w:rFonts w:ascii="Arial" w:hAnsi="Arial" w:cs="Arial"/>
        </w:rPr>
      </w:pPr>
    </w:p>
    <w:p w14:paraId="505FD220" w14:textId="77777777" w:rsidR="00FA3A9C" w:rsidRDefault="00FA3A9C" w:rsidP="00FA3A9C">
      <w:pPr>
        <w:spacing w:after="0" w:line="240" w:lineRule="auto"/>
        <w:jc w:val="both"/>
        <w:rPr>
          <w:rFonts w:ascii="Arial" w:hAnsi="Arial" w:cs="Arial"/>
        </w:rPr>
      </w:pPr>
      <w:r>
        <w:rPr>
          <w:rFonts w:ascii="Arial" w:hAnsi="Arial" w:cs="Arial"/>
        </w:rPr>
        <w:t>The AMH Crisis and Home Treatment Team will also provide support to patients over 65 with functional mental illness.</w:t>
      </w:r>
    </w:p>
    <w:p w14:paraId="070CE86D" w14:textId="77777777" w:rsidR="00FA3A9C" w:rsidRDefault="00FA3A9C" w:rsidP="00FA3A9C">
      <w:pPr>
        <w:spacing w:after="0" w:line="240" w:lineRule="auto"/>
        <w:rPr>
          <w:rFonts w:ascii="Arial" w:hAnsi="Arial" w:cs="Arial"/>
        </w:rPr>
      </w:pPr>
    </w:p>
    <w:p w14:paraId="153D4610" w14:textId="77777777" w:rsidR="00FA3A9C" w:rsidRPr="00721E30" w:rsidRDefault="00FA3A9C" w:rsidP="00FA3A9C">
      <w:pPr>
        <w:spacing w:after="0" w:line="240" w:lineRule="auto"/>
        <w:rPr>
          <w:rFonts w:ascii="Arial" w:hAnsi="Arial" w:cs="Arial"/>
        </w:rPr>
      </w:pPr>
    </w:p>
    <w:p w14:paraId="59AE6F6C" w14:textId="77777777" w:rsidR="008E0903" w:rsidRPr="006332C6" w:rsidRDefault="008E0903" w:rsidP="008E0903">
      <w:pPr>
        <w:spacing w:after="0" w:line="240" w:lineRule="auto"/>
        <w:jc w:val="both"/>
        <w:rPr>
          <w:rFonts w:ascii="Arial" w:eastAsia="Times New Roman" w:hAnsi="Arial" w:cs="Arial"/>
          <w:b/>
          <w:color w:val="FF0000"/>
        </w:rPr>
      </w:pPr>
    </w:p>
    <w:p w14:paraId="782F4F4F" w14:textId="77777777" w:rsidR="00BD76EE" w:rsidRDefault="00BD76EE" w:rsidP="00BD76EE">
      <w:pPr>
        <w:spacing w:after="0" w:line="240" w:lineRule="auto"/>
        <w:rPr>
          <w:rFonts w:ascii="Arial" w:hAnsi="Arial" w:cs="Arial"/>
        </w:rPr>
      </w:pPr>
    </w:p>
    <w:p w14:paraId="7E502025" w14:textId="77777777" w:rsidR="006332C6" w:rsidRPr="006332C6" w:rsidRDefault="006332C6" w:rsidP="006332C6">
      <w:pPr>
        <w:spacing w:after="0" w:line="240" w:lineRule="auto"/>
        <w:ind w:left="720"/>
        <w:jc w:val="both"/>
        <w:rPr>
          <w:rFonts w:ascii="Arial" w:eastAsia="Times New Roman" w:hAnsi="Arial" w:cs="Arial"/>
          <w:b/>
          <w:color w:val="FF0000"/>
        </w:rPr>
      </w:pPr>
    </w:p>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2286AFD3" w14:textId="77777777"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 responsible for the Consultant's agreed area.</w:t>
      </w:r>
    </w:p>
    <w:p w14:paraId="2413F191"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591D4611"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appointee will be responsible with consultant and other professional colleagues for the provision of a comprehensive  service to the district.</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32FD0AB6" w14:textId="3C59BCDB" w:rsidR="0099640E" w:rsidRPr="000C115D" w:rsidRDefault="0099640E" w:rsidP="0099640E">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The post holder</w:t>
      </w:r>
      <w:r w:rsidRPr="00BD76EE">
        <w:rPr>
          <w:rFonts w:ascii="Arial" w:eastAsia="Times New Roman" w:hAnsi="Arial" w:cs="Arial"/>
          <w:lang w:eastAsia="en-GB"/>
        </w:rPr>
        <w:t xml:space="preserve">, who needs to be Section 12 approved under the Mental Health Act, will </w:t>
      </w:r>
      <w:r w:rsidRPr="00655999">
        <w:rPr>
          <w:rFonts w:ascii="Arial" w:eastAsia="Times New Roman" w:hAnsi="Arial" w:cs="Arial"/>
          <w:lang w:eastAsia="en-GB"/>
        </w:rPr>
        <w:t>join the MHSOP consultant non resident on-call rota which works on a third on call basis. The current frequency is approximately 1 in 13. Th</w:t>
      </w:r>
      <w:r w:rsidR="00655999" w:rsidRPr="00655999">
        <w:rPr>
          <w:rFonts w:ascii="Arial" w:eastAsia="Times New Roman" w:hAnsi="Arial" w:cs="Arial"/>
          <w:lang w:eastAsia="en-GB"/>
        </w:rPr>
        <w:t>e</w:t>
      </w:r>
      <w:r w:rsidRPr="00655999">
        <w:rPr>
          <w:rFonts w:ascii="Arial" w:eastAsia="Times New Roman" w:hAnsi="Arial" w:cs="Arial"/>
          <w:lang w:eastAsia="en-GB"/>
        </w:rPr>
        <w:t xml:space="preserve"> oncall rota only covers MHSOP Older age patients, there is a separate consultant rota for Adult Mental Health, CAMHS and Learning Disabilities. On Call duties are from 9am to 9am on weekdays and 9am </w:t>
      </w:r>
      <w:r w:rsidRPr="000C115D">
        <w:rPr>
          <w:rFonts w:ascii="Arial" w:eastAsia="Times New Roman" w:hAnsi="Arial" w:cs="Arial"/>
          <w:lang w:eastAsia="en-GB"/>
        </w:rPr>
        <w:t>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       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1F3698C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be responsible for offering expert advice on clinical issues, together with the maintenance of long term case work with individual patients if this is appropriate</w:t>
      </w:r>
    </w:p>
    <w:p w14:paraId="0C9007F4"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35137D4F" w14:textId="77777777" w:rsidR="006332C6" w:rsidRPr="000C115D" w:rsidRDefault="006332C6" w:rsidP="000A563E">
      <w:pPr>
        <w:spacing w:after="0" w:line="240" w:lineRule="auto"/>
        <w:rPr>
          <w:rFonts w:ascii="Arial" w:eastAsia="Times New Roman" w:hAnsi="Arial" w:cs="Arial"/>
        </w:rPr>
      </w:pP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3DA4B96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014D2E">
        <w:rPr>
          <w:rFonts w:ascii="Arial" w:eastAsia="Times New Roman" w:hAnsi="Arial" w:cs="Arial"/>
          <w:color w:val="000000"/>
          <w:lang w:eastAsia="en-GB"/>
        </w:rPr>
        <w:t>Clinical</w:t>
      </w:r>
      <w:r w:rsidRPr="00A23E7A">
        <w:rPr>
          <w:rFonts w:ascii="Arial" w:eastAsia="Times New Roman" w:hAnsi="Arial" w:cs="Arial"/>
          <w:color w:val="000000"/>
          <w:lang w:eastAsia="en-GB"/>
        </w:rPr>
        <w:t xml:space="preserve"> Director.  </w:t>
      </w:r>
    </w:p>
    <w:p w14:paraId="7369436F" w14:textId="77777777" w:rsidR="00A23E7A" w:rsidRPr="00A23E7A" w:rsidRDefault="00A23E7A" w:rsidP="00A23E7A">
      <w:pPr>
        <w:spacing w:after="0" w:line="240" w:lineRule="auto"/>
        <w:jc w:val="both"/>
        <w:rPr>
          <w:rFonts w:ascii="Arial" w:eastAsia="Times New Roman" w:hAnsi="Arial" w:cs="Arial"/>
          <w:lang w:eastAsia="en-GB"/>
        </w:rPr>
      </w:pPr>
    </w:p>
    <w:p w14:paraId="284D012C" w14:textId="77777777" w:rsid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7125440F" w14:textId="77777777" w:rsidR="00FA3A9C" w:rsidRDefault="00FA3A9C" w:rsidP="00A23E7A">
      <w:pPr>
        <w:spacing w:after="0" w:line="240" w:lineRule="auto"/>
        <w:jc w:val="both"/>
        <w:rPr>
          <w:rFonts w:ascii="Arial" w:eastAsia="Times New Roman" w:hAnsi="Arial" w:cs="Arial"/>
        </w:rPr>
      </w:pPr>
    </w:p>
    <w:p w14:paraId="0BFCC8AF" w14:textId="77777777" w:rsidR="00FA3A9C" w:rsidRPr="00684BF6" w:rsidRDefault="00FA3A9C" w:rsidP="00FA3A9C">
      <w:pPr>
        <w:spacing w:after="0" w:line="240" w:lineRule="auto"/>
        <w:ind w:firstLine="720"/>
        <w:jc w:val="both"/>
        <w:rPr>
          <w:rFonts w:ascii="Arial" w:eastAsia="Times New Roman" w:hAnsi="Arial" w:cs="Arial"/>
          <w:u w:val="single"/>
        </w:rPr>
      </w:pPr>
      <w:r w:rsidRPr="00684BF6">
        <w:rPr>
          <w:rFonts w:ascii="Arial" w:eastAsia="Times New Roman" w:hAnsi="Arial" w:cs="Arial"/>
          <w:u w:val="single"/>
        </w:rPr>
        <w:lastRenderedPageBreak/>
        <w:t>Direct Clinical Care:</w:t>
      </w:r>
    </w:p>
    <w:p w14:paraId="7BABAB9A" w14:textId="77777777" w:rsidR="00FA3A9C" w:rsidRPr="00684BF6" w:rsidRDefault="00FA3A9C" w:rsidP="00FA3A9C">
      <w:pPr>
        <w:tabs>
          <w:tab w:val="left" w:pos="1440"/>
          <w:tab w:val="left" w:pos="7200"/>
        </w:tabs>
        <w:spacing w:after="0" w:line="240" w:lineRule="auto"/>
        <w:ind w:left="709"/>
        <w:jc w:val="both"/>
        <w:rPr>
          <w:rFonts w:ascii="Arial" w:eastAsia="Times New Roman" w:hAnsi="Arial" w:cs="Arial"/>
        </w:rPr>
      </w:pPr>
      <w:r w:rsidRPr="00684BF6">
        <w:rPr>
          <w:rFonts w:ascii="Arial" w:eastAsia="Times New Roman" w:hAnsi="Arial" w:cs="Arial"/>
        </w:rPr>
        <w:t xml:space="preserve">Out-patients including Home Visits and </w:t>
      </w:r>
      <w:r>
        <w:rPr>
          <w:rFonts w:ascii="Arial" w:eastAsia="Times New Roman" w:hAnsi="Arial" w:cs="Arial"/>
        </w:rPr>
        <w:t>OPC</w:t>
      </w:r>
      <w:r>
        <w:rPr>
          <w:rFonts w:ascii="Arial" w:eastAsia="Times New Roman" w:hAnsi="Arial" w:cs="Arial"/>
        </w:rPr>
        <w:tab/>
        <w:t>4.5 PA</w:t>
      </w:r>
      <w:r w:rsidRPr="00684BF6">
        <w:rPr>
          <w:rFonts w:ascii="Arial" w:eastAsia="Times New Roman" w:hAnsi="Arial" w:cs="Arial"/>
        </w:rPr>
        <w:t>s</w:t>
      </w:r>
    </w:p>
    <w:p w14:paraId="03E31E79" w14:textId="77777777" w:rsidR="00FA3A9C" w:rsidRPr="00684BF6" w:rsidRDefault="00FA3A9C" w:rsidP="00FA3A9C">
      <w:pPr>
        <w:tabs>
          <w:tab w:val="left" w:pos="1440"/>
          <w:tab w:val="left" w:pos="7200"/>
        </w:tabs>
        <w:spacing w:after="0" w:line="240" w:lineRule="auto"/>
        <w:ind w:left="709" w:hanging="709"/>
        <w:jc w:val="both"/>
        <w:rPr>
          <w:rFonts w:ascii="Arial" w:eastAsia="Times New Roman" w:hAnsi="Arial" w:cs="Arial"/>
        </w:rPr>
      </w:pPr>
      <w:r w:rsidRPr="00684BF6">
        <w:rPr>
          <w:rFonts w:ascii="Arial" w:eastAsia="Times New Roman" w:hAnsi="Arial" w:cs="Arial"/>
        </w:rPr>
        <w:tab/>
      </w:r>
      <w:r>
        <w:rPr>
          <w:rFonts w:ascii="Arial" w:eastAsia="Times New Roman" w:hAnsi="Arial" w:cs="Arial"/>
        </w:rPr>
        <w:t>Community MDT</w:t>
      </w:r>
      <w:r>
        <w:rPr>
          <w:rFonts w:ascii="Arial" w:eastAsia="Times New Roman" w:hAnsi="Arial" w:cs="Arial"/>
        </w:rPr>
        <w:tab/>
        <w:t>1</w:t>
      </w:r>
      <w:r w:rsidRPr="00684BF6">
        <w:rPr>
          <w:rFonts w:ascii="Arial" w:eastAsia="Times New Roman" w:hAnsi="Arial" w:cs="Arial"/>
        </w:rPr>
        <w:t xml:space="preserve"> PAs</w:t>
      </w:r>
    </w:p>
    <w:p w14:paraId="3B14AE3F" w14:textId="77777777" w:rsidR="00FA3A9C" w:rsidRDefault="00FA3A9C" w:rsidP="00FA3A9C">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Patient related administration</w:t>
      </w:r>
      <w:r w:rsidRPr="00684BF6">
        <w:rPr>
          <w:rFonts w:ascii="Arial" w:eastAsia="Times New Roman" w:hAnsi="Arial" w:cs="Arial"/>
        </w:rPr>
        <w:tab/>
        <w:t>1 PA</w:t>
      </w:r>
    </w:p>
    <w:p w14:paraId="177F98B0" w14:textId="74827328" w:rsidR="00721892" w:rsidRDefault="00721892" w:rsidP="00FA3A9C">
      <w:pPr>
        <w:tabs>
          <w:tab w:val="left" w:pos="709"/>
          <w:tab w:val="left" w:pos="7200"/>
        </w:tabs>
        <w:spacing w:after="0" w:line="240" w:lineRule="auto"/>
        <w:jc w:val="both"/>
        <w:rPr>
          <w:rFonts w:ascii="Arial" w:eastAsia="Times New Roman" w:hAnsi="Arial" w:cs="Arial"/>
        </w:rPr>
      </w:pPr>
      <w:r>
        <w:rPr>
          <w:rFonts w:ascii="Arial" w:eastAsia="Times New Roman" w:hAnsi="Arial" w:cs="Arial"/>
        </w:rPr>
        <w:t xml:space="preserve">           Availability for urgent assessments                                                   1 PA</w:t>
      </w:r>
    </w:p>
    <w:p w14:paraId="454B0F10" w14:textId="77777777" w:rsidR="00BD76EE" w:rsidRPr="00A23E7A" w:rsidRDefault="00BD76EE" w:rsidP="00A23E7A">
      <w:pPr>
        <w:spacing w:after="0" w:line="240" w:lineRule="auto"/>
        <w:jc w:val="both"/>
        <w:rPr>
          <w:rFonts w:ascii="Arial" w:eastAsia="Times New Roman" w:hAnsi="Arial" w:cs="Arial"/>
        </w:rPr>
      </w:pPr>
    </w:p>
    <w:p w14:paraId="0F0E97B1" w14:textId="77777777" w:rsidR="008E0903" w:rsidRPr="00684BF6" w:rsidRDefault="008E0903" w:rsidP="008E0903">
      <w:pPr>
        <w:tabs>
          <w:tab w:val="left" w:pos="709"/>
          <w:tab w:val="left" w:pos="7200"/>
        </w:tabs>
        <w:spacing w:after="0" w:line="240" w:lineRule="auto"/>
        <w:jc w:val="both"/>
        <w:rPr>
          <w:rFonts w:ascii="Arial" w:eastAsia="Times New Roman" w:hAnsi="Arial" w:cs="Arial"/>
          <w:u w:val="single"/>
        </w:rPr>
      </w:pPr>
      <w:r w:rsidRPr="00684BF6">
        <w:rPr>
          <w:rFonts w:ascii="Arial" w:eastAsia="Times New Roman" w:hAnsi="Arial" w:cs="Arial"/>
        </w:rPr>
        <w:tab/>
      </w:r>
      <w:r w:rsidRPr="00684BF6">
        <w:rPr>
          <w:rFonts w:ascii="Arial" w:eastAsia="Times New Roman" w:hAnsi="Arial" w:cs="Arial"/>
          <w:u w:val="single"/>
        </w:rPr>
        <w:t>Supporting Professional Activities:</w:t>
      </w:r>
    </w:p>
    <w:p w14:paraId="3DDE19CC" w14:textId="77777777" w:rsidR="008E0903" w:rsidRPr="00684BF6" w:rsidRDefault="008E0903" w:rsidP="008E0903">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 xml:space="preserve">CPD, research and </w:t>
      </w:r>
      <w:r w:rsidRPr="00655999">
        <w:rPr>
          <w:rFonts w:ascii="Arial" w:eastAsia="Times New Roman" w:hAnsi="Arial" w:cs="Arial"/>
        </w:rPr>
        <w:t>medical audit</w:t>
      </w:r>
      <w:r w:rsidRPr="00684BF6">
        <w:rPr>
          <w:rFonts w:ascii="Arial" w:eastAsia="Times New Roman" w:hAnsi="Arial" w:cs="Arial"/>
        </w:rPr>
        <w:tab/>
        <w:t>1 PAs</w:t>
      </w:r>
    </w:p>
    <w:p w14:paraId="0C907F4E" w14:textId="77777777" w:rsidR="008E0903" w:rsidRPr="00684BF6" w:rsidRDefault="008E0903" w:rsidP="008E0903">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Supporting Trust activities</w:t>
      </w:r>
      <w:r w:rsidRPr="00684BF6">
        <w:rPr>
          <w:rFonts w:ascii="Arial" w:eastAsia="Times New Roman" w:hAnsi="Arial" w:cs="Arial"/>
        </w:rPr>
        <w:tab/>
        <w:t>1 PAs</w:t>
      </w:r>
    </w:p>
    <w:p w14:paraId="1E707ECC" w14:textId="77777777" w:rsidR="008E0903" w:rsidRPr="00684BF6" w:rsidRDefault="008E0903" w:rsidP="008E0903">
      <w:pPr>
        <w:tabs>
          <w:tab w:val="left" w:pos="709"/>
          <w:tab w:val="left" w:pos="7200"/>
        </w:tabs>
        <w:spacing w:after="0" w:line="240" w:lineRule="auto"/>
        <w:jc w:val="both"/>
        <w:rPr>
          <w:rFonts w:ascii="Arial" w:eastAsia="Times New Roman" w:hAnsi="Arial" w:cs="Arial"/>
        </w:rPr>
      </w:pPr>
      <w:r w:rsidRPr="00684BF6">
        <w:rPr>
          <w:rFonts w:ascii="Arial" w:eastAsia="Times New Roman" w:hAnsi="Arial" w:cs="Arial"/>
        </w:rPr>
        <w:tab/>
        <w:t>Undergraduate Teaching</w:t>
      </w:r>
      <w:r w:rsidRPr="00684BF6">
        <w:rPr>
          <w:rFonts w:ascii="Arial" w:eastAsia="Times New Roman" w:hAnsi="Arial" w:cs="Arial"/>
        </w:rPr>
        <w:tab/>
        <w:t>0.5PA</w:t>
      </w:r>
    </w:p>
    <w:p w14:paraId="5CBD1912" w14:textId="77777777" w:rsidR="008E0903" w:rsidRPr="00684BF6" w:rsidRDefault="008E0903" w:rsidP="008E0903">
      <w:pPr>
        <w:tabs>
          <w:tab w:val="left" w:pos="1440"/>
          <w:tab w:val="left" w:pos="7200"/>
        </w:tabs>
        <w:spacing w:after="0" w:line="240" w:lineRule="auto"/>
        <w:jc w:val="both"/>
        <w:rPr>
          <w:rFonts w:ascii="Arial" w:eastAsia="Times New Roman" w:hAnsi="Arial" w:cs="Arial"/>
          <w:u w:val="single"/>
        </w:rPr>
      </w:pPr>
    </w:p>
    <w:p w14:paraId="5D77B3E2" w14:textId="77777777" w:rsidR="008E0903" w:rsidRPr="00684BF6" w:rsidRDefault="008E0903" w:rsidP="008E0903">
      <w:pPr>
        <w:tabs>
          <w:tab w:val="left" w:pos="709"/>
          <w:tab w:val="left" w:pos="7200"/>
        </w:tabs>
        <w:spacing w:after="0" w:line="240" w:lineRule="auto"/>
        <w:jc w:val="both"/>
        <w:rPr>
          <w:rFonts w:ascii="Arial" w:eastAsia="Times New Roman" w:hAnsi="Arial" w:cs="Arial"/>
          <w:b/>
        </w:rPr>
      </w:pPr>
      <w:r w:rsidRPr="00684BF6">
        <w:rPr>
          <w:rFonts w:ascii="Arial" w:eastAsia="Times New Roman" w:hAnsi="Arial" w:cs="Arial"/>
          <w:b/>
        </w:rPr>
        <w:tab/>
        <w:t>Total</w:t>
      </w:r>
      <w:r w:rsidRPr="00684BF6">
        <w:rPr>
          <w:rFonts w:ascii="Arial" w:eastAsia="Times New Roman" w:hAnsi="Arial" w:cs="Arial"/>
          <w:b/>
        </w:rPr>
        <w:tab/>
        <w:t>10 PA’s</w:t>
      </w:r>
    </w:p>
    <w:p w14:paraId="2D32B49A" w14:textId="77777777" w:rsidR="00A23E7A" w:rsidRPr="00A23E7A" w:rsidRDefault="00A23E7A" w:rsidP="00A23E7A">
      <w:pPr>
        <w:spacing w:after="0" w:line="240" w:lineRule="auto"/>
        <w:ind w:left="720"/>
        <w:jc w:val="both"/>
        <w:rPr>
          <w:rFonts w:ascii="Arial" w:eastAsia="Times New Roman" w:hAnsi="Arial" w:cs="Arial"/>
        </w:rPr>
      </w:pPr>
    </w:p>
    <w:p w14:paraId="2A9B6952" w14:textId="77777777" w:rsidR="00A23E7A" w:rsidRPr="00A23E7A" w:rsidRDefault="00A23E7A" w:rsidP="00A23E7A">
      <w:pPr>
        <w:spacing w:after="0" w:line="240" w:lineRule="auto"/>
        <w:ind w:left="720"/>
        <w:jc w:val="both"/>
        <w:rPr>
          <w:rFonts w:ascii="Arial" w:eastAsia="Times New Roman" w:hAnsi="Arial" w:cs="Arial"/>
          <w:b/>
        </w:rPr>
      </w:pPr>
    </w:p>
    <w:p w14:paraId="35845B37" w14:textId="77777777" w:rsidR="00FF7711" w:rsidRPr="00BD76EE" w:rsidRDefault="00A23E7A" w:rsidP="00A23E7A">
      <w:pPr>
        <w:spacing w:after="0" w:line="240" w:lineRule="auto"/>
        <w:jc w:val="both"/>
        <w:rPr>
          <w:rFonts w:ascii="Arial" w:eastAsia="Times New Roman" w:hAnsi="Arial" w:cs="Arial"/>
        </w:rPr>
      </w:pPr>
      <w:r w:rsidRPr="00BD76EE">
        <w:rPr>
          <w:rFonts w:ascii="Arial" w:eastAsia="Times New Roman" w:hAnsi="Arial" w:cs="Arial"/>
        </w:rPr>
        <w:t xml:space="preserve">A separate availability supplement will be payable for on call duties, which are currently based on a rota of approximately 1:13. The availability supplement will be 3% (category A). </w:t>
      </w:r>
    </w:p>
    <w:p w14:paraId="0E61EE1F" w14:textId="5B620E2B" w:rsidR="00FF7711" w:rsidRPr="00655999" w:rsidRDefault="00FF7711" w:rsidP="00A23E7A">
      <w:pPr>
        <w:spacing w:after="0" w:line="240" w:lineRule="auto"/>
        <w:jc w:val="both"/>
        <w:rPr>
          <w:rFonts w:ascii="Arial" w:eastAsia="Times New Roman" w:hAnsi="Arial" w:cs="Arial"/>
        </w:rPr>
      </w:pPr>
      <w:r w:rsidRPr="00BD76EE">
        <w:rPr>
          <w:rFonts w:ascii="Arial" w:eastAsia="Times New Roman" w:hAnsi="Arial" w:cs="Arial"/>
        </w:rPr>
        <w:t xml:space="preserve">There are five Consultant on call rotas to cover Adult City, Adult County, Old Age, CAMHS and Learning Disabilities. </w:t>
      </w:r>
      <w:r w:rsidR="00C76347" w:rsidRPr="00655999">
        <w:rPr>
          <w:rFonts w:ascii="Arial" w:eastAsia="Times New Roman" w:hAnsi="Arial" w:cs="Arial"/>
        </w:rPr>
        <w:t>MHSOP consultants are oncall for the Old Age rota.</w:t>
      </w:r>
      <w:r w:rsidRPr="00655999">
        <w:rPr>
          <w:rFonts w:ascii="Arial" w:eastAsia="Times New Roman" w:hAnsi="Arial" w:cs="Arial"/>
        </w:rPr>
        <w:t xml:space="preserve"> </w:t>
      </w:r>
      <w:r w:rsidR="00A23E7A" w:rsidRPr="00655999">
        <w:rPr>
          <w:rFonts w:ascii="Arial" w:eastAsia="Times New Roman" w:hAnsi="Arial" w:cs="Arial"/>
        </w:rPr>
        <w:t xml:space="preserve">There </w:t>
      </w:r>
      <w:r w:rsidRPr="00655999">
        <w:rPr>
          <w:rFonts w:ascii="Arial" w:eastAsia="Times New Roman" w:hAnsi="Arial" w:cs="Arial"/>
        </w:rPr>
        <w:t>are also two StR rotas and four junior doctor rotas for out of hours provision.</w:t>
      </w:r>
    </w:p>
    <w:p w14:paraId="2D2B79D1" w14:textId="77777777" w:rsidR="00FF7711" w:rsidRDefault="00FF7711"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316A0558" w14:textId="215AD672" w:rsid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p>
    <w:p w14:paraId="30813995" w14:textId="77777777" w:rsidR="00E15637" w:rsidRPr="000C115D" w:rsidRDefault="00E15637" w:rsidP="000C115D">
      <w:pPr>
        <w:spacing w:after="0" w:line="240" w:lineRule="auto"/>
        <w:jc w:val="both"/>
        <w:rPr>
          <w:rFonts w:ascii="Arial" w:eastAsia="Times New Roman" w:hAnsi="Arial" w:cs="Arial"/>
        </w:rPr>
      </w:pPr>
      <w:bookmarkStart w:id="2" w:name="_Hlk83038358"/>
    </w:p>
    <w:p w14:paraId="4B5BD590" w14:textId="1532B90E" w:rsidR="000C115D" w:rsidRDefault="000C115D" w:rsidP="000C115D">
      <w:pPr>
        <w:spacing w:after="0" w:line="240" w:lineRule="auto"/>
        <w:rPr>
          <w:rFonts w:ascii="Arial" w:eastAsia="Times New Roman" w:hAnsi="Arial" w:cs="Arial"/>
          <w:lang w:eastAsia="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E15637" w14:paraId="702DA781" w14:textId="77777777" w:rsidTr="009A22F4">
        <w:trPr>
          <w:trHeight w:val="357"/>
        </w:trPr>
        <w:tc>
          <w:tcPr>
            <w:tcW w:w="1555" w:type="dxa"/>
          </w:tcPr>
          <w:p w14:paraId="5AE5A06D"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36486937" w14:textId="77777777" w:rsidR="00E15637" w:rsidRPr="00E15637" w:rsidRDefault="00E15637"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12F920E0" w14:textId="77777777" w:rsidR="00E15637" w:rsidRPr="00E15637" w:rsidRDefault="00E15637" w:rsidP="009A22F4">
            <w:pPr>
              <w:pStyle w:val="TableParagraph"/>
              <w:spacing w:before="87"/>
              <w:ind w:left="54"/>
              <w:rPr>
                <w:rFonts w:ascii="Arial" w:hAnsi="Arial" w:cs="Arial"/>
                <w:b/>
                <w:sz w:val="20"/>
                <w:szCs w:val="20"/>
              </w:rPr>
            </w:pPr>
            <w:r w:rsidRPr="00E15637">
              <w:rPr>
                <w:rFonts w:ascii="Arial" w:hAnsi="Arial" w:cs="Arial"/>
                <w:b/>
                <w:sz w:val="20"/>
                <w:szCs w:val="20"/>
              </w:rPr>
              <w:t>Location</w:t>
            </w:r>
          </w:p>
        </w:tc>
        <w:tc>
          <w:tcPr>
            <w:tcW w:w="2976" w:type="dxa"/>
          </w:tcPr>
          <w:p w14:paraId="7A6EE632"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Work</w:t>
            </w:r>
          </w:p>
        </w:tc>
        <w:tc>
          <w:tcPr>
            <w:tcW w:w="1135" w:type="dxa"/>
          </w:tcPr>
          <w:p w14:paraId="0B820E8B" w14:textId="77777777" w:rsidR="00E15637" w:rsidRPr="00E15637" w:rsidRDefault="00E15637"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1774A013" w14:textId="77777777" w:rsidR="00E15637" w:rsidRPr="00E15637" w:rsidRDefault="00E15637"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E15637" w14:paraId="7FB9BCEC" w14:textId="77777777" w:rsidTr="009A22F4">
        <w:trPr>
          <w:trHeight w:val="357"/>
        </w:trPr>
        <w:tc>
          <w:tcPr>
            <w:tcW w:w="1555" w:type="dxa"/>
            <w:vMerge w:val="restart"/>
          </w:tcPr>
          <w:p w14:paraId="227FFF52" w14:textId="77777777" w:rsidR="00E15637" w:rsidRPr="00E15637" w:rsidRDefault="00E15637" w:rsidP="009A22F4">
            <w:pPr>
              <w:pStyle w:val="TableParagraph"/>
              <w:spacing w:before="1"/>
              <w:rPr>
                <w:rFonts w:ascii="Arial" w:hAnsi="Arial" w:cs="Arial"/>
                <w:sz w:val="20"/>
                <w:szCs w:val="20"/>
              </w:rPr>
            </w:pPr>
          </w:p>
          <w:p w14:paraId="23729F38"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7F52E42F"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A08CBCC" w14:textId="59A3AF22" w:rsidR="00E15637" w:rsidRPr="00E15637" w:rsidRDefault="00FA3A9C"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2E7F1A2A" w14:textId="088B16C7" w:rsidR="00E15637" w:rsidRPr="00E15637" w:rsidRDefault="00BD76EE" w:rsidP="009A22F4">
            <w:pPr>
              <w:pStyle w:val="TableParagraph"/>
              <w:rPr>
                <w:rFonts w:ascii="Arial" w:hAnsi="Arial" w:cs="Arial"/>
                <w:sz w:val="20"/>
                <w:szCs w:val="20"/>
              </w:rPr>
            </w:pPr>
            <w:r>
              <w:rPr>
                <w:rFonts w:ascii="Arial" w:hAnsi="Arial" w:cs="Arial"/>
                <w:sz w:val="20"/>
                <w:szCs w:val="20"/>
              </w:rPr>
              <w:t>OPC</w:t>
            </w:r>
            <w:r w:rsidR="009A7A4B">
              <w:rPr>
                <w:rFonts w:ascii="Arial" w:hAnsi="Arial" w:cs="Arial"/>
                <w:sz w:val="20"/>
                <w:szCs w:val="20"/>
              </w:rPr>
              <w:t>/Supervision</w:t>
            </w:r>
          </w:p>
        </w:tc>
        <w:tc>
          <w:tcPr>
            <w:tcW w:w="1135" w:type="dxa"/>
          </w:tcPr>
          <w:p w14:paraId="5D1B9AEB" w14:textId="0CF6B8A4"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07130529" w14:textId="70162532" w:rsidR="00E15637" w:rsidRPr="00E15637" w:rsidRDefault="00761BBE" w:rsidP="009A22F4">
            <w:pPr>
              <w:pStyle w:val="TableParagraph"/>
              <w:rPr>
                <w:rFonts w:ascii="Arial" w:hAnsi="Arial" w:cs="Arial"/>
                <w:sz w:val="20"/>
                <w:szCs w:val="20"/>
              </w:rPr>
            </w:pPr>
            <w:r>
              <w:rPr>
                <w:rFonts w:ascii="Arial" w:hAnsi="Arial" w:cs="Arial"/>
                <w:sz w:val="20"/>
                <w:szCs w:val="20"/>
              </w:rPr>
              <w:t>1</w:t>
            </w:r>
          </w:p>
        </w:tc>
      </w:tr>
      <w:tr w:rsidR="00E15637" w14:paraId="5550F309" w14:textId="77777777" w:rsidTr="009A22F4">
        <w:trPr>
          <w:trHeight w:val="357"/>
        </w:trPr>
        <w:tc>
          <w:tcPr>
            <w:tcW w:w="1555" w:type="dxa"/>
            <w:vMerge/>
            <w:tcBorders>
              <w:top w:val="nil"/>
            </w:tcBorders>
          </w:tcPr>
          <w:p w14:paraId="1391B16F" w14:textId="77777777" w:rsidR="00E15637" w:rsidRPr="00E15637" w:rsidRDefault="00E15637" w:rsidP="009A22F4">
            <w:pPr>
              <w:rPr>
                <w:rFonts w:ascii="Arial" w:hAnsi="Arial" w:cs="Arial"/>
                <w:sz w:val="20"/>
                <w:szCs w:val="20"/>
              </w:rPr>
            </w:pPr>
          </w:p>
        </w:tc>
        <w:tc>
          <w:tcPr>
            <w:tcW w:w="583" w:type="dxa"/>
          </w:tcPr>
          <w:p w14:paraId="5750A100"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4B3D673F" w14:textId="6B30CC7A" w:rsidR="00E15637" w:rsidRPr="00E15637" w:rsidRDefault="00FA3A9C"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0DAECB75" w14:textId="721CC491" w:rsidR="00E15637" w:rsidRPr="00E15637" w:rsidRDefault="00FA3A9C" w:rsidP="009A22F4">
            <w:pPr>
              <w:pStyle w:val="TableParagraph"/>
              <w:rPr>
                <w:rFonts w:ascii="Arial" w:hAnsi="Arial" w:cs="Arial"/>
                <w:sz w:val="20"/>
                <w:szCs w:val="20"/>
              </w:rPr>
            </w:pPr>
            <w:r>
              <w:rPr>
                <w:rFonts w:ascii="Arial" w:hAnsi="Arial" w:cs="Arial"/>
                <w:sz w:val="20"/>
                <w:szCs w:val="20"/>
              </w:rPr>
              <w:t>Admin</w:t>
            </w:r>
          </w:p>
        </w:tc>
        <w:tc>
          <w:tcPr>
            <w:tcW w:w="1135" w:type="dxa"/>
          </w:tcPr>
          <w:p w14:paraId="05C00CBE" w14:textId="3ED82918" w:rsidR="00E15637" w:rsidRPr="00E15637" w:rsidRDefault="00E15637" w:rsidP="009A22F4">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33B58235" w14:textId="6466ED3E" w:rsidR="00BD76EE" w:rsidRPr="00E15637" w:rsidRDefault="008E0903" w:rsidP="009A22F4">
            <w:pPr>
              <w:pStyle w:val="TableParagraph"/>
              <w:rPr>
                <w:rFonts w:ascii="Arial" w:hAnsi="Arial" w:cs="Arial"/>
                <w:sz w:val="20"/>
                <w:szCs w:val="20"/>
              </w:rPr>
            </w:pPr>
            <w:r>
              <w:rPr>
                <w:rFonts w:ascii="Arial" w:hAnsi="Arial" w:cs="Arial"/>
                <w:sz w:val="20"/>
                <w:szCs w:val="20"/>
              </w:rPr>
              <w:t>1</w:t>
            </w:r>
          </w:p>
        </w:tc>
      </w:tr>
      <w:tr w:rsidR="00E15637" w14:paraId="302EE33E" w14:textId="77777777" w:rsidTr="009A22F4">
        <w:trPr>
          <w:trHeight w:val="357"/>
        </w:trPr>
        <w:tc>
          <w:tcPr>
            <w:tcW w:w="1555" w:type="dxa"/>
            <w:vMerge w:val="restart"/>
          </w:tcPr>
          <w:p w14:paraId="1D887A90" w14:textId="77777777" w:rsidR="00E15637" w:rsidRPr="00E15637" w:rsidRDefault="00E15637" w:rsidP="009A22F4">
            <w:pPr>
              <w:pStyle w:val="TableParagraph"/>
              <w:spacing w:before="1"/>
              <w:rPr>
                <w:rFonts w:ascii="Arial" w:hAnsi="Arial" w:cs="Arial"/>
                <w:sz w:val="20"/>
                <w:szCs w:val="20"/>
              </w:rPr>
            </w:pPr>
          </w:p>
          <w:p w14:paraId="17D2951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04AD9435"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21B5F5E" w14:textId="2184BD5E" w:rsidR="00E15637" w:rsidRPr="00E15637" w:rsidRDefault="00FA3A9C" w:rsidP="009A22F4">
            <w:pPr>
              <w:pStyle w:val="TableParagraph"/>
              <w:rPr>
                <w:rFonts w:ascii="Arial" w:hAnsi="Arial" w:cs="Arial"/>
                <w:sz w:val="20"/>
                <w:szCs w:val="20"/>
              </w:rPr>
            </w:pPr>
            <w:r>
              <w:rPr>
                <w:rFonts w:ascii="Arial" w:hAnsi="Arial" w:cs="Arial"/>
                <w:sz w:val="20"/>
                <w:szCs w:val="20"/>
              </w:rPr>
              <w:t>Nevile Centre</w:t>
            </w:r>
          </w:p>
        </w:tc>
        <w:tc>
          <w:tcPr>
            <w:tcW w:w="2976" w:type="dxa"/>
          </w:tcPr>
          <w:p w14:paraId="3F264FC6" w14:textId="32415978" w:rsidR="00E15637" w:rsidRPr="00E15637" w:rsidRDefault="00FA3A9C" w:rsidP="009A22F4">
            <w:pPr>
              <w:pStyle w:val="TableParagraph"/>
              <w:rPr>
                <w:rFonts w:ascii="Arial" w:hAnsi="Arial" w:cs="Arial"/>
                <w:sz w:val="20"/>
                <w:szCs w:val="20"/>
              </w:rPr>
            </w:pPr>
            <w:r>
              <w:rPr>
                <w:rFonts w:ascii="Arial" w:hAnsi="Arial" w:cs="Arial"/>
                <w:sz w:val="20"/>
                <w:szCs w:val="20"/>
              </w:rPr>
              <w:t>OPC</w:t>
            </w:r>
          </w:p>
        </w:tc>
        <w:tc>
          <w:tcPr>
            <w:tcW w:w="1135" w:type="dxa"/>
          </w:tcPr>
          <w:p w14:paraId="3BCF225E" w14:textId="69DE34B5" w:rsidR="00E15637" w:rsidRPr="00E15637" w:rsidRDefault="00E15637" w:rsidP="009A22F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146635E9" w14:textId="0C98E816"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480E06A7" w14:textId="77777777" w:rsidTr="009A22F4">
        <w:trPr>
          <w:trHeight w:val="357"/>
        </w:trPr>
        <w:tc>
          <w:tcPr>
            <w:tcW w:w="1555" w:type="dxa"/>
            <w:vMerge/>
            <w:tcBorders>
              <w:top w:val="nil"/>
            </w:tcBorders>
          </w:tcPr>
          <w:p w14:paraId="11D092D3" w14:textId="77777777" w:rsidR="00E15637" w:rsidRPr="00E15637" w:rsidRDefault="00E15637" w:rsidP="009A22F4">
            <w:pPr>
              <w:rPr>
                <w:rFonts w:ascii="Arial" w:hAnsi="Arial" w:cs="Arial"/>
                <w:sz w:val="20"/>
                <w:szCs w:val="20"/>
              </w:rPr>
            </w:pPr>
          </w:p>
        </w:tc>
        <w:tc>
          <w:tcPr>
            <w:tcW w:w="583" w:type="dxa"/>
          </w:tcPr>
          <w:p w14:paraId="099D5F34"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755A0A5B" w14:textId="3A321220" w:rsidR="00E15637" w:rsidRPr="00E15637" w:rsidRDefault="00FA3A9C" w:rsidP="009A22F4">
            <w:pPr>
              <w:pStyle w:val="TableParagraph"/>
              <w:rPr>
                <w:rFonts w:ascii="Arial" w:hAnsi="Arial" w:cs="Arial"/>
                <w:sz w:val="20"/>
                <w:szCs w:val="20"/>
              </w:rPr>
            </w:pPr>
            <w:r>
              <w:rPr>
                <w:rFonts w:ascii="Arial" w:hAnsi="Arial" w:cs="Arial"/>
                <w:sz w:val="20"/>
                <w:szCs w:val="20"/>
              </w:rPr>
              <w:t>Base/Home</w:t>
            </w:r>
          </w:p>
        </w:tc>
        <w:tc>
          <w:tcPr>
            <w:tcW w:w="2976" w:type="dxa"/>
          </w:tcPr>
          <w:p w14:paraId="1A4C354E" w14:textId="4E8DAAB9" w:rsidR="00E15637" w:rsidRPr="00E15637" w:rsidRDefault="00FA3A9C" w:rsidP="009A22F4">
            <w:pPr>
              <w:pStyle w:val="TableParagraph"/>
              <w:rPr>
                <w:rFonts w:ascii="Arial" w:hAnsi="Arial" w:cs="Arial"/>
                <w:sz w:val="20"/>
                <w:szCs w:val="20"/>
              </w:rPr>
            </w:pPr>
            <w:r>
              <w:rPr>
                <w:rFonts w:ascii="Arial" w:hAnsi="Arial" w:cs="Arial"/>
                <w:sz w:val="20"/>
                <w:szCs w:val="20"/>
              </w:rPr>
              <w:t>Urgent Appointments/SPA</w:t>
            </w:r>
          </w:p>
        </w:tc>
        <w:tc>
          <w:tcPr>
            <w:tcW w:w="1135" w:type="dxa"/>
          </w:tcPr>
          <w:p w14:paraId="1F45D25F" w14:textId="77777777" w:rsidR="00E15637" w:rsidRDefault="009A7A4B" w:rsidP="009A22F4">
            <w:pPr>
              <w:pStyle w:val="TableParagraph"/>
              <w:spacing w:before="87"/>
              <w:ind w:left="131"/>
              <w:rPr>
                <w:rFonts w:ascii="Arial" w:hAnsi="Arial" w:cs="Arial"/>
                <w:sz w:val="20"/>
                <w:szCs w:val="20"/>
              </w:rPr>
            </w:pPr>
            <w:r>
              <w:rPr>
                <w:rFonts w:ascii="Arial" w:hAnsi="Arial" w:cs="Arial"/>
                <w:sz w:val="20"/>
                <w:szCs w:val="20"/>
              </w:rPr>
              <w:t>DCC</w:t>
            </w:r>
            <w:r w:rsidR="002E266D">
              <w:rPr>
                <w:rFonts w:ascii="Arial" w:hAnsi="Arial" w:cs="Arial"/>
                <w:sz w:val="20"/>
                <w:szCs w:val="20"/>
              </w:rPr>
              <w:t>/</w:t>
            </w:r>
          </w:p>
          <w:p w14:paraId="78A5A8B4" w14:textId="18633BB4" w:rsidR="002E266D" w:rsidRPr="00E15637" w:rsidRDefault="002E266D" w:rsidP="009A22F4">
            <w:pPr>
              <w:pStyle w:val="TableParagraph"/>
              <w:spacing w:before="87"/>
              <w:ind w:left="131"/>
              <w:rPr>
                <w:rFonts w:ascii="Arial" w:hAnsi="Arial" w:cs="Arial"/>
                <w:sz w:val="20"/>
                <w:szCs w:val="20"/>
              </w:rPr>
            </w:pPr>
            <w:r>
              <w:rPr>
                <w:rFonts w:ascii="Arial" w:hAnsi="Arial" w:cs="Arial"/>
                <w:sz w:val="20"/>
                <w:szCs w:val="20"/>
              </w:rPr>
              <w:t>SPA</w:t>
            </w:r>
          </w:p>
        </w:tc>
        <w:tc>
          <w:tcPr>
            <w:tcW w:w="1133" w:type="dxa"/>
          </w:tcPr>
          <w:p w14:paraId="37CEEBB5" w14:textId="77777777" w:rsidR="00E15637" w:rsidRDefault="002E266D" w:rsidP="009A22F4">
            <w:pPr>
              <w:pStyle w:val="TableParagraph"/>
              <w:rPr>
                <w:rFonts w:ascii="Arial" w:hAnsi="Arial" w:cs="Arial"/>
                <w:sz w:val="20"/>
                <w:szCs w:val="20"/>
              </w:rPr>
            </w:pPr>
            <w:r>
              <w:rPr>
                <w:rFonts w:ascii="Arial" w:hAnsi="Arial" w:cs="Arial"/>
                <w:sz w:val="20"/>
                <w:szCs w:val="20"/>
              </w:rPr>
              <w:t>0.5</w:t>
            </w:r>
          </w:p>
          <w:p w14:paraId="06460A83" w14:textId="57AB5B3E" w:rsidR="002E266D" w:rsidRPr="00E15637" w:rsidRDefault="002E266D" w:rsidP="009A22F4">
            <w:pPr>
              <w:pStyle w:val="TableParagraph"/>
              <w:rPr>
                <w:rFonts w:ascii="Arial" w:hAnsi="Arial" w:cs="Arial"/>
                <w:sz w:val="20"/>
                <w:szCs w:val="20"/>
              </w:rPr>
            </w:pPr>
            <w:r>
              <w:rPr>
                <w:rFonts w:ascii="Arial" w:hAnsi="Arial" w:cs="Arial"/>
                <w:sz w:val="20"/>
                <w:szCs w:val="20"/>
              </w:rPr>
              <w:t>0.5</w:t>
            </w:r>
          </w:p>
        </w:tc>
      </w:tr>
      <w:tr w:rsidR="00E15637" w14:paraId="233A07FF" w14:textId="77777777" w:rsidTr="009A22F4">
        <w:trPr>
          <w:trHeight w:val="357"/>
        </w:trPr>
        <w:tc>
          <w:tcPr>
            <w:tcW w:w="1555" w:type="dxa"/>
            <w:vMerge w:val="restart"/>
          </w:tcPr>
          <w:p w14:paraId="5D21FDF2" w14:textId="77777777" w:rsidR="00E15637" w:rsidRPr="00E15637" w:rsidRDefault="00E15637" w:rsidP="009A22F4">
            <w:pPr>
              <w:pStyle w:val="TableParagraph"/>
              <w:spacing w:before="1"/>
              <w:rPr>
                <w:rFonts w:ascii="Arial" w:hAnsi="Arial" w:cs="Arial"/>
                <w:sz w:val="20"/>
                <w:szCs w:val="20"/>
              </w:rPr>
            </w:pPr>
          </w:p>
          <w:p w14:paraId="7C181F7A"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447C811C"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7771D753" w14:textId="0C86D38D" w:rsidR="00E15637" w:rsidRPr="00E15637" w:rsidRDefault="00FA3A9C" w:rsidP="009A22F4">
            <w:pPr>
              <w:pStyle w:val="TableParagraph"/>
              <w:rPr>
                <w:rFonts w:ascii="Arial" w:hAnsi="Arial" w:cs="Arial"/>
                <w:sz w:val="20"/>
                <w:szCs w:val="20"/>
              </w:rPr>
            </w:pPr>
            <w:r>
              <w:rPr>
                <w:rFonts w:ascii="Arial" w:hAnsi="Arial" w:cs="Arial"/>
                <w:sz w:val="20"/>
                <w:szCs w:val="20"/>
              </w:rPr>
              <w:t>Base/Home</w:t>
            </w:r>
          </w:p>
        </w:tc>
        <w:tc>
          <w:tcPr>
            <w:tcW w:w="2976" w:type="dxa"/>
          </w:tcPr>
          <w:p w14:paraId="655E8848" w14:textId="3AF3A086" w:rsidR="00E15637" w:rsidRPr="00E15637" w:rsidRDefault="00FA3A9C" w:rsidP="009A22F4">
            <w:pPr>
              <w:pStyle w:val="TableParagraph"/>
              <w:rPr>
                <w:rFonts w:ascii="Arial" w:hAnsi="Arial" w:cs="Arial"/>
                <w:sz w:val="20"/>
                <w:szCs w:val="20"/>
              </w:rPr>
            </w:pPr>
            <w:r>
              <w:rPr>
                <w:rFonts w:ascii="Arial" w:hAnsi="Arial" w:cs="Arial"/>
                <w:sz w:val="20"/>
                <w:szCs w:val="20"/>
              </w:rPr>
              <w:t>SPA</w:t>
            </w:r>
          </w:p>
        </w:tc>
        <w:tc>
          <w:tcPr>
            <w:tcW w:w="1135" w:type="dxa"/>
          </w:tcPr>
          <w:p w14:paraId="769F192E" w14:textId="3E1BA7E5" w:rsidR="00E15637" w:rsidRPr="00E15637" w:rsidRDefault="00FA3A9C" w:rsidP="009A22F4">
            <w:pPr>
              <w:pStyle w:val="TableParagraph"/>
              <w:spacing w:before="87"/>
              <w:ind w:left="132"/>
              <w:rPr>
                <w:rFonts w:ascii="Arial" w:hAnsi="Arial" w:cs="Arial"/>
                <w:sz w:val="20"/>
                <w:szCs w:val="20"/>
              </w:rPr>
            </w:pPr>
            <w:r>
              <w:rPr>
                <w:rFonts w:ascii="Arial" w:hAnsi="Arial" w:cs="Arial"/>
                <w:sz w:val="20"/>
                <w:szCs w:val="20"/>
              </w:rPr>
              <w:t>SPA</w:t>
            </w:r>
          </w:p>
        </w:tc>
        <w:tc>
          <w:tcPr>
            <w:tcW w:w="1133" w:type="dxa"/>
          </w:tcPr>
          <w:p w14:paraId="5095F08C" w14:textId="79643FAB"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105785B6" w14:textId="77777777" w:rsidTr="009A22F4">
        <w:trPr>
          <w:trHeight w:val="357"/>
        </w:trPr>
        <w:tc>
          <w:tcPr>
            <w:tcW w:w="1555" w:type="dxa"/>
            <w:vMerge/>
            <w:tcBorders>
              <w:top w:val="nil"/>
            </w:tcBorders>
          </w:tcPr>
          <w:p w14:paraId="04519303" w14:textId="77777777" w:rsidR="00E15637" w:rsidRPr="00E15637" w:rsidRDefault="00E15637" w:rsidP="009A22F4">
            <w:pPr>
              <w:rPr>
                <w:rFonts w:ascii="Arial" w:hAnsi="Arial" w:cs="Arial"/>
                <w:sz w:val="20"/>
                <w:szCs w:val="20"/>
              </w:rPr>
            </w:pPr>
          </w:p>
        </w:tc>
        <w:tc>
          <w:tcPr>
            <w:tcW w:w="583" w:type="dxa"/>
          </w:tcPr>
          <w:p w14:paraId="4881979B"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EA1F405" w14:textId="7D6003A0" w:rsidR="00E15637" w:rsidRPr="00E15637" w:rsidRDefault="00FA3A9C"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161B2E13" w14:textId="3DAE2113" w:rsidR="00E15637" w:rsidRPr="00E15637" w:rsidRDefault="00FA3A9C" w:rsidP="009A22F4">
            <w:pPr>
              <w:pStyle w:val="TableParagraph"/>
              <w:rPr>
                <w:rFonts w:ascii="Arial" w:hAnsi="Arial" w:cs="Arial"/>
                <w:sz w:val="20"/>
                <w:szCs w:val="20"/>
              </w:rPr>
            </w:pPr>
            <w:r>
              <w:rPr>
                <w:rFonts w:ascii="Arial" w:hAnsi="Arial" w:cs="Arial"/>
                <w:sz w:val="20"/>
                <w:szCs w:val="20"/>
              </w:rPr>
              <w:t>MDT</w:t>
            </w:r>
          </w:p>
        </w:tc>
        <w:tc>
          <w:tcPr>
            <w:tcW w:w="1135" w:type="dxa"/>
          </w:tcPr>
          <w:p w14:paraId="2BC3429B" w14:textId="6D88CECF" w:rsidR="00E15637" w:rsidRPr="00E15637" w:rsidRDefault="002E266D" w:rsidP="009A22F4">
            <w:pPr>
              <w:pStyle w:val="TableParagraph"/>
              <w:spacing w:before="87"/>
              <w:ind w:left="131"/>
              <w:rPr>
                <w:rFonts w:ascii="Arial" w:hAnsi="Arial" w:cs="Arial"/>
                <w:sz w:val="20"/>
                <w:szCs w:val="20"/>
              </w:rPr>
            </w:pPr>
            <w:r>
              <w:rPr>
                <w:rFonts w:ascii="Arial" w:hAnsi="Arial" w:cs="Arial"/>
                <w:sz w:val="20"/>
                <w:szCs w:val="20"/>
              </w:rPr>
              <w:t>DCC</w:t>
            </w:r>
          </w:p>
        </w:tc>
        <w:tc>
          <w:tcPr>
            <w:tcW w:w="1133" w:type="dxa"/>
          </w:tcPr>
          <w:p w14:paraId="7CDEF485" w14:textId="13FD98FA"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5DEDA2A3" w14:textId="77777777" w:rsidTr="009A22F4">
        <w:trPr>
          <w:trHeight w:val="357"/>
        </w:trPr>
        <w:tc>
          <w:tcPr>
            <w:tcW w:w="1555" w:type="dxa"/>
            <w:vMerge w:val="restart"/>
          </w:tcPr>
          <w:p w14:paraId="08B1401B" w14:textId="77777777" w:rsidR="00E15637" w:rsidRPr="00E15637" w:rsidRDefault="00E15637" w:rsidP="009A22F4">
            <w:pPr>
              <w:pStyle w:val="TableParagraph"/>
              <w:spacing w:before="1"/>
              <w:rPr>
                <w:rFonts w:ascii="Arial" w:hAnsi="Arial" w:cs="Arial"/>
                <w:sz w:val="20"/>
                <w:szCs w:val="20"/>
              </w:rPr>
            </w:pPr>
          </w:p>
          <w:p w14:paraId="12F50D00"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5E006D86"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176942E" w14:textId="3BF2F395" w:rsidR="00E15637" w:rsidRPr="00E15637" w:rsidRDefault="00FA3A9C" w:rsidP="009A22F4">
            <w:pPr>
              <w:pStyle w:val="TableParagraph"/>
              <w:rPr>
                <w:rFonts w:ascii="Arial" w:hAnsi="Arial" w:cs="Arial"/>
                <w:sz w:val="20"/>
                <w:szCs w:val="20"/>
              </w:rPr>
            </w:pPr>
            <w:r>
              <w:rPr>
                <w:rFonts w:ascii="Arial" w:hAnsi="Arial" w:cs="Arial"/>
                <w:sz w:val="20"/>
                <w:szCs w:val="20"/>
              </w:rPr>
              <w:t>Base</w:t>
            </w:r>
          </w:p>
        </w:tc>
        <w:tc>
          <w:tcPr>
            <w:tcW w:w="2976" w:type="dxa"/>
          </w:tcPr>
          <w:p w14:paraId="4D1F9522" w14:textId="5F348C64" w:rsidR="00E15637" w:rsidRPr="00E15637" w:rsidRDefault="00FA3A9C" w:rsidP="009A22F4">
            <w:pPr>
              <w:pStyle w:val="TableParagraph"/>
              <w:rPr>
                <w:rFonts w:ascii="Arial" w:hAnsi="Arial" w:cs="Arial"/>
                <w:sz w:val="20"/>
                <w:szCs w:val="20"/>
              </w:rPr>
            </w:pPr>
            <w:r>
              <w:rPr>
                <w:rFonts w:ascii="Arial" w:hAnsi="Arial" w:cs="Arial"/>
                <w:sz w:val="20"/>
                <w:szCs w:val="20"/>
              </w:rPr>
              <w:t>Home Visits</w:t>
            </w:r>
          </w:p>
        </w:tc>
        <w:tc>
          <w:tcPr>
            <w:tcW w:w="1135" w:type="dxa"/>
          </w:tcPr>
          <w:p w14:paraId="4FA90CD2" w14:textId="45D82A3F" w:rsidR="00E15637" w:rsidRPr="00E15637" w:rsidRDefault="00BD76EE" w:rsidP="009A22F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235DBB78" w14:textId="10D98636"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3316891D" w14:textId="77777777" w:rsidTr="009A22F4">
        <w:trPr>
          <w:trHeight w:val="357"/>
        </w:trPr>
        <w:tc>
          <w:tcPr>
            <w:tcW w:w="1555" w:type="dxa"/>
            <w:vMerge/>
            <w:tcBorders>
              <w:top w:val="nil"/>
            </w:tcBorders>
          </w:tcPr>
          <w:p w14:paraId="00854254" w14:textId="77777777" w:rsidR="00E15637" w:rsidRPr="00E15637" w:rsidRDefault="00E15637" w:rsidP="009A22F4">
            <w:pPr>
              <w:rPr>
                <w:rFonts w:ascii="Arial" w:hAnsi="Arial" w:cs="Arial"/>
                <w:sz w:val="20"/>
                <w:szCs w:val="20"/>
              </w:rPr>
            </w:pPr>
          </w:p>
        </w:tc>
        <w:tc>
          <w:tcPr>
            <w:tcW w:w="583" w:type="dxa"/>
          </w:tcPr>
          <w:p w14:paraId="134E2E57"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9547E53" w14:textId="418B35DC" w:rsidR="00E15637" w:rsidRPr="00E15637" w:rsidRDefault="00FA3A9C"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797EF666" w14:textId="385416B6" w:rsidR="00E15637" w:rsidRPr="00E15637" w:rsidRDefault="00FA3A9C" w:rsidP="009A22F4">
            <w:pPr>
              <w:pStyle w:val="TableParagraph"/>
              <w:rPr>
                <w:rFonts w:ascii="Arial" w:hAnsi="Arial" w:cs="Arial"/>
                <w:sz w:val="20"/>
                <w:szCs w:val="20"/>
              </w:rPr>
            </w:pPr>
            <w:r>
              <w:rPr>
                <w:rFonts w:ascii="Arial" w:hAnsi="Arial" w:cs="Arial"/>
                <w:sz w:val="20"/>
                <w:szCs w:val="20"/>
              </w:rPr>
              <w:t>CMHT support</w:t>
            </w:r>
          </w:p>
        </w:tc>
        <w:tc>
          <w:tcPr>
            <w:tcW w:w="1135" w:type="dxa"/>
          </w:tcPr>
          <w:p w14:paraId="16BFB113" w14:textId="10EA0863" w:rsidR="00E15637" w:rsidRPr="00E15637" w:rsidRDefault="00FA3A9C" w:rsidP="009A22F4">
            <w:pPr>
              <w:pStyle w:val="TableParagraph"/>
              <w:spacing w:before="85"/>
              <w:ind w:left="131"/>
              <w:rPr>
                <w:rFonts w:ascii="Arial" w:hAnsi="Arial" w:cs="Arial"/>
                <w:sz w:val="20"/>
                <w:szCs w:val="20"/>
              </w:rPr>
            </w:pPr>
            <w:r>
              <w:rPr>
                <w:rFonts w:ascii="Arial" w:hAnsi="Arial" w:cs="Arial"/>
                <w:sz w:val="20"/>
                <w:szCs w:val="20"/>
              </w:rPr>
              <w:t>DCC</w:t>
            </w:r>
          </w:p>
        </w:tc>
        <w:tc>
          <w:tcPr>
            <w:tcW w:w="1133" w:type="dxa"/>
          </w:tcPr>
          <w:p w14:paraId="52F8EFDB" w14:textId="0E89F457"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6415D5D0" w14:textId="77777777" w:rsidTr="009A22F4">
        <w:trPr>
          <w:trHeight w:val="357"/>
        </w:trPr>
        <w:tc>
          <w:tcPr>
            <w:tcW w:w="1555" w:type="dxa"/>
            <w:vMerge w:val="restart"/>
          </w:tcPr>
          <w:p w14:paraId="0296EE3D" w14:textId="77777777" w:rsidR="00E15637" w:rsidRPr="00E15637" w:rsidRDefault="00E15637" w:rsidP="009A22F4">
            <w:pPr>
              <w:pStyle w:val="TableParagraph"/>
              <w:spacing w:before="1"/>
              <w:rPr>
                <w:rFonts w:ascii="Arial" w:hAnsi="Arial" w:cs="Arial"/>
                <w:sz w:val="20"/>
                <w:szCs w:val="20"/>
              </w:rPr>
            </w:pPr>
          </w:p>
          <w:p w14:paraId="733E3F5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6103097" w14:textId="77777777" w:rsidR="00E15637" w:rsidRPr="00E15637" w:rsidRDefault="00E15637" w:rsidP="009A22F4">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624EEBE" w14:textId="23DA0990" w:rsidR="00E15637" w:rsidRPr="00E15637" w:rsidRDefault="00FA3A9C" w:rsidP="009A22F4">
            <w:pPr>
              <w:pStyle w:val="TableParagraph"/>
              <w:rPr>
                <w:rFonts w:ascii="Arial" w:hAnsi="Arial" w:cs="Arial"/>
                <w:sz w:val="20"/>
                <w:szCs w:val="20"/>
              </w:rPr>
            </w:pPr>
            <w:r>
              <w:rPr>
                <w:rFonts w:ascii="Arial" w:hAnsi="Arial" w:cs="Arial"/>
                <w:sz w:val="20"/>
                <w:szCs w:val="20"/>
              </w:rPr>
              <w:t>Neville Centre</w:t>
            </w:r>
          </w:p>
        </w:tc>
        <w:tc>
          <w:tcPr>
            <w:tcW w:w="2976" w:type="dxa"/>
          </w:tcPr>
          <w:p w14:paraId="71E7B959" w14:textId="1C04D879" w:rsidR="00E15637" w:rsidRPr="00E15637" w:rsidRDefault="00FA3A9C" w:rsidP="009A22F4">
            <w:pPr>
              <w:pStyle w:val="TableParagraph"/>
              <w:rPr>
                <w:rFonts w:ascii="Arial" w:hAnsi="Arial" w:cs="Arial"/>
                <w:sz w:val="20"/>
                <w:szCs w:val="20"/>
              </w:rPr>
            </w:pPr>
            <w:r>
              <w:rPr>
                <w:rFonts w:ascii="Arial" w:hAnsi="Arial" w:cs="Arial"/>
                <w:sz w:val="20"/>
                <w:szCs w:val="20"/>
              </w:rPr>
              <w:t>OPC</w:t>
            </w:r>
          </w:p>
        </w:tc>
        <w:tc>
          <w:tcPr>
            <w:tcW w:w="1135" w:type="dxa"/>
          </w:tcPr>
          <w:p w14:paraId="61BE92BA" w14:textId="5584B40D" w:rsidR="00E15637" w:rsidRPr="00E15637" w:rsidRDefault="00E15637" w:rsidP="009A22F4">
            <w:pPr>
              <w:pStyle w:val="TableParagraph"/>
              <w:spacing w:before="85"/>
              <w:ind w:left="132"/>
              <w:rPr>
                <w:rFonts w:ascii="Arial" w:hAnsi="Arial" w:cs="Arial"/>
                <w:sz w:val="20"/>
                <w:szCs w:val="20"/>
              </w:rPr>
            </w:pPr>
            <w:r w:rsidRPr="00E15637">
              <w:rPr>
                <w:rFonts w:ascii="Arial" w:hAnsi="Arial" w:cs="Arial"/>
                <w:sz w:val="20"/>
                <w:szCs w:val="20"/>
              </w:rPr>
              <w:t xml:space="preserve">DCC </w:t>
            </w:r>
          </w:p>
        </w:tc>
        <w:tc>
          <w:tcPr>
            <w:tcW w:w="1133" w:type="dxa"/>
          </w:tcPr>
          <w:p w14:paraId="670FCC19" w14:textId="5EFC2792" w:rsidR="00E15637" w:rsidRPr="00E15637" w:rsidRDefault="00BD76EE" w:rsidP="009A22F4">
            <w:pPr>
              <w:pStyle w:val="TableParagraph"/>
              <w:rPr>
                <w:rFonts w:ascii="Arial" w:hAnsi="Arial" w:cs="Arial"/>
                <w:sz w:val="20"/>
                <w:szCs w:val="20"/>
              </w:rPr>
            </w:pPr>
            <w:r>
              <w:rPr>
                <w:rFonts w:ascii="Arial" w:hAnsi="Arial" w:cs="Arial"/>
                <w:sz w:val="20"/>
                <w:szCs w:val="20"/>
              </w:rPr>
              <w:t>1</w:t>
            </w:r>
          </w:p>
        </w:tc>
      </w:tr>
      <w:tr w:rsidR="00E15637" w14:paraId="3C6E6203" w14:textId="77777777" w:rsidTr="009A22F4">
        <w:trPr>
          <w:trHeight w:val="357"/>
        </w:trPr>
        <w:tc>
          <w:tcPr>
            <w:tcW w:w="1555" w:type="dxa"/>
            <w:vMerge/>
            <w:tcBorders>
              <w:top w:val="nil"/>
            </w:tcBorders>
          </w:tcPr>
          <w:p w14:paraId="34B87AA2" w14:textId="77777777" w:rsidR="00E15637" w:rsidRPr="00E15637" w:rsidRDefault="00E15637" w:rsidP="009A22F4">
            <w:pPr>
              <w:rPr>
                <w:rFonts w:ascii="Arial" w:hAnsi="Arial" w:cs="Arial"/>
                <w:sz w:val="20"/>
                <w:szCs w:val="20"/>
              </w:rPr>
            </w:pPr>
          </w:p>
        </w:tc>
        <w:tc>
          <w:tcPr>
            <w:tcW w:w="583" w:type="dxa"/>
          </w:tcPr>
          <w:p w14:paraId="24456C2D"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653AD3A" w14:textId="33BFF576" w:rsidR="00E15637" w:rsidRPr="00E15637" w:rsidRDefault="00FA3A9C" w:rsidP="009A22F4">
            <w:pPr>
              <w:pStyle w:val="TableParagraph"/>
              <w:rPr>
                <w:rFonts w:ascii="Arial" w:hAnsi="Arial" w:cs="Arial"/>
                <w:sz w:val="20"/>
                <w:szCs w:val="20"/>
              </w:rPr>
            </w:pPr>
            <w:r>
              <w:rPr>
                <w:rFonts w:ascii="Arial" w:hAnsi="Arial" w:cs="Arial"/>
                <w:sz w:val="20"/>
                <w:szCs w:val="20"/>
              </w:rPr>
              <w:t>Bas</w:t>
            </w:r>
            <w:r w:rsidR="001A3A50">
              <w:rPr>
                <w:rFonts w:ascii="Arial" w:hAnsi="Arial" w:cs="Arial"/>
                <w:sz w:val="20"/>
                <w:szCs w:val="20"/>
              </w:rPr>
              <w:t>e</w:t>
            </w:r>
            <w:r>
              <w:rPr>
                <w:rFonts w:ascii="Arial" w:hAnsi="Arial" w:cs="Arial"/>
                <w:sz w:val="20"/>
                <w:szCs w:val="20"/>
              </w:rPr>
              <w:t>/Home</w:t>
            </w:r>
          </w:p>
        </w:tc>
        <w:tc>
          <w:tcPr>
            <w:tcW w:w="2976" w:type="dxa"/>
          </w:tcPr>
          <w:p w14:paraId="23294A5C" w14:textId="73859322" w:rsidR="00E15637" w:rsidRPr="00E15637" w:rsidRDefault="00FA3A9C" w:rsidP="009A22F4">
            <w:pPr>
              <w:pStyle w:val="TableParagraph"/>
              <w:rPr>
                <w:rFonts w:ascii="Arial" w:hAnsi="Arial" w:cs="Arial"/>
                <w:sz w:val="20"/>
                <w:szCs w:val="20"/>
              </w:rPr>
            </w:pPr>
            <w:r>
              <w:rPr>
                <w:rFonts w:ascii="Arial" w:hAnsi="Arial" w:cs="Arial"/>
                <w:sz w:val="20"/>
                <w:szCs w:val="20"/>
              </w:rPr>
              <w:t>SPA</w:t>
            </w:r>
          </w:p>
        </w:tc>
        <w:tc>
          <w:tcPr>
            <w:tcW w:w="1135" w:type="dxa"/>
          </w:tcPr>
          <w:p w14:paraId="02167F6C" w14:textId="332503BE" w:rsidR="009A7A4B" w:rsidRPr="00E15637" w:rsidRDefault="00FA3A9C" w:rsidP="00FA3A9C">
            <w:pPr>
              <w:pStyle w:val="TableParagraph"/>
              <w:spacing w:before="85"/>
              <w:ind w:left="131"/>
              <w:rPr>
                <w:rFonts w:ascii="Arial" w:hAnsi="Arial" w:cs="Arial"/>
                <w:sz w:val="20"/>
                <w:szCs w:val="20"/>
              </w:rPr>
            </w:pPr>
            <w:r>
              <w:rPr>
                <w:rFonts w:ascii="Arial" w:hAnsi="Arial" w:cs="Arial"/>
                <w:sz w:val="20"/>
                <w:szCs w:val="20"/>
              </w:rPr>
              <w:t>SPA</w:t>
            </w:r>
          </w:p>
        </w:tc>
        <w:tc>
          <w:tcPr>
            <w:tcW w:w="1133" w:type="dxa"/>
          </w:tcPr>
          <w:p w14:paraId="3422F71A" w14:textId="3C53E148" w:rsidR="009A7A4B" w:rsidRPr="00E15637" w:rsidRDefault="002E266D" w:rsidP="009A22F4">
            <w:pPr>
              <w:pStyle w:val="TableParagraph"/>
              <w:rPr>
                <w:rFonts w:ascii="Arial" w:hAnsi="Arial" w:cs="Arial"/>
                <w:sz w:val="20"/>
                <w:szCs w:val="20"/>
              </w:rPr>
            </w:pPr>
            <w:r>
              <w:rPr>
                <w:rFonts w:ascii="Arial" w:hAnsi="Arial" w:cs="Arial"/>
                <w:sz w:val="20"/>
                <w:szCs w:val="20"/>
              </w:rPr>
              <w:t>1</w:t>
            </w:r>
          </w:p>
        </w:tc>
      </w:tr>
      <w:tr w:rsidR="00E15637" w14:paraId="5994A0EE" w14:textId="77777777" w:rsidTr="009A22F4">
        <w:trPr>
          <w:trHeight w:val="846"/>
        </w:trPr>
        <w:tc>
          <w:tcPr>
            <w:tcW w:w="1555" w:type="dxa"/>
          </w:tcPr>
          <w:p w14:paraId="71B2D518" w14:textId="77777777" w:rsidR="00E15637" w:rsidRPr="00E15637" w:rsidRDefault="00E15637" w:rsidP="009A22F4">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74A5E8E9" w14:textId="77777777" w:rsidR="00E15637" w:rsidRPr="00E15637" w:rsidRDefault="00E15637" w:rsidP="009A22F4">
            <w:pPr>
              <w:pStyle w:val="TableParagraph"/>
              <w:rPr>
                <w:rFonts w:ascii="Arial" w:hAnsi="Arial" w:cs="Arial"/>
                <w:sz w:val="20"/>
                <w:szCs w:val="20"/>
              </w:rPr>
            </w:pPr>
          </w:p>
        </w:tc>
        <w:tc>
          <w:tcPr>
            <w:tcW w:w="1685" w:type="dxa"/>
          </w:tcPr>
          <w:p w14:paraId="1BE521C4" w14:textId="77777777" w:rsidR="00E15637" w:rsidRPr="00E15637" w:rsidRDefault="00E15637" w:rsidP="009A22F4">
            <w:pPr>
              <w:pStyle w:val="TableParagraph"/>
              <w:rPr>
                <w:rFonts w:ascii="Arial" w:hAnsi="Arial" w:cs="Arial"/>
                <w:sz w:val="20"/>
                <w:szCs w:val="20"/>
              </w:rPr>
            </w:pPr>
          </w:p>
        </w:tc>
        <w:tc>
          <w:tcPr>
            <w:tcW w:w="2976" w:type="dxa"/>
          </w:tcPr>
          <w:p w14:paraId="404D1E11" w14:textId="77777777" w:rsidR="00E15637" w:rsidRPr="00E15637" w:rsidRDefault="00E15637" w:rsidP="009A22F4">
            <w:pPr>
              <w:pStyle w:val="TableParagraph"/>
              <w:rPr>
                <w:rFonts w:ascii="Arial" w:hAnsi="Arial" w:cs="Arial"/>
                <w:sz w:val="20"/>
                <w:szCs w:val="20"/>
              </w:rPr>
            </w:pPr>
          </w:p>
        </w:tc>
        <w:tc>
          <w:tcPr>
            <w:tcW w:w="1135" w:type="dxa"/>
          </w:tcPr>
          <w:p w14:paraId="69873F0D" w14:textId="77777777" w:rsidR="00E15637" w:rsidRPr="00E15637" w:rsidRDefault="00E15637" w:rsidP="009A22F4">
            <w:pPr>
              <w:pStyle w:val="TableParagraph"/>
              <w:rPr>
                <w:rFonts w:ascii="Arial" w:hAnsi="Arial" w:cs="Arial"/>
                <w:sz w:val="20"/>
                <w:szCs w:val="20"/>
              </w:rPr>
            </w:pPr>
          </w:p>
        </w:tc>
        <w:tc>
          <w:tcPr>
            <w:tcW w:w="1133" w:type="dxa"/>
          </w:tcPr>
          <w:p w14:paraId="048ABD81" w14:textId="77777777" w:rsidR="00E15637" w:rsidRPr="00E15637" w:rsidRDefault="00E15637" w:rsidP="009A22F4">
            <w:pPr>
              <w:pStyle w:val="TableParagraph"/>
              <w:rPr>
                <w:rFonts w:ascii="Arial" w:hAnsi="Arial" w:cs="Arial"/>
                <w:sz w:val="20"/>
                <w:szCs w:val="20"/>
              </w:rPr>
            </w:pPr>
          </w:p>
        </w:tc>
      </w:tr>
      <w:tr w:rsidR="00E15637" w14:paraId="2EE6CA0A" w14:textId="77777777" w:rsidTr="009A22F4">
        <w:trPr>
          <w:trHeight w:val="357"/>
        </w:trPr>
        <w:tc>
          <w:tcPr>
            <w:tcW w:w="1555" w:type="dxa"/>
            <w:vMerge w:val="restart"/>
          </w:tcPr>
          <w:p w14:paraId="35EEA49A" w14:textId="77777777" w:rsidR="00E15637" w:rsidRPr="00E15637" w:rsidRDefault="00E15637" w:rsidP="009A22F4">
            <w:pPr>
              <w:pStyle w:val="TableParagraph"/>
              <w:spacing w:before="11"/>
              <w:rPr>
                <w:rFonts w:ascii="Arial" w:hAnsi="Arial" w:cs="Arial"/>
                <w:sz w:val="20"/>
                <w:szCs w:val="20"/>
              </w:rPr>
            </w:pPr>
          </w:p>
          <w:p w14:paraId="1F2D6F21"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2D0D0DE5"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68DAD9EA" w14:textId="61274789" w:rsidR="00E15637" w:rsidRPr="00E15637" w:rsidRDefault="00761BBE" w:rsidP="009A22F4">
            <w:pPr>
              <w:pStyle w:val="TableParagraph"/>
              <w:spacing w:before="85"/>
              <w:ind w:left="86" w:right="135"/>
              <w:jc w:val="center"/>
              <w:rPr>
                <w:rFonts w:ascii="Arial" w:hAnsi="Arial" w:cs="Arial"/>
                <w:sz w:val="20"/>
                <w:szCs w:val="20"/>
              </w:rPr>
            </w:pPr>
            <w:r>
              <w:rPr>
                <w:rFonts w:ascii="Arial" w:hAnsi="Arial" w:cs="Arial"/>
                <w:sz w:val="20"/>
                <w:szCs w:val="20"/>
              </w:rPr>
              <w:t>7.5</w:t>
            </w:r>
          </w:p>
        </w:tc>
      </w:tr>
      <w:tr w:rsidR="00E15637" w14:paraId="06F9A80C" w14:textId="77777777" w:rsidTr="009A22F4">
        <w:trPr>
          <w:trHeight w:val="357"/>
        </w:trPr>
        <w:tc>
          <w:tcPr>
            <w:tcW w:w="1555" w:type="dxa"/>
            <w:vMerge/>
            <w:tcBorders>
              <w:top w:val="nil"/>
            </w:tcBorders>
          </w:tcPr>
          <w:p w14:paraId="66E1A7EA" w14:textId="77777777" w:rsidR="00E15637" w:rsidRPr="00E15637" w:rsidRDefault="00E15637" w:rsidP="009A22F4">
            <w:pPr>
              <w:rPr>
                <w:rFonts w:ascii="Arial" w:hAnsi="Arial" w:cs="Arial"/>
                <w:sz w:val="20"/>
                <w:szCs w:val="20"/>
              </w:rPr>
            </w:pPr>
          </w:p>
        </w:tc>
        <w:tc>
          <w:tcPr>
            <w:tcW w:w="6379" w:type="dxa"/>
            <w:gridSpan w:val="4"/>
          </w:tcPr>
          <w:p w14:paraId="79F3A461"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12F61E6B" w14:textId="6F096663" w:rsidR="00E15637" w:rsidRPr="00E15637" w:rsidRDefault="00761BBE" w:rsidP="009A22F4">
            <w:pPr>
              <w:pStyle w:val="TableParagraph"/>
              <w:spacing w:before="85"/>
              <w:ind w:left="86" w:right="135"/>
              <w:jc w:val="center"/>
              <w:rPr>
                <w:rFonts w:ascii="Arial" w:hAnsi="Arial" w:cs="Arial"/>
                <w:sz w:val="20"/>
                <w:szCs w:val="20"/>
              </w:rPr>
            </w:pPr>
            <w:r>
              <w:rPr>
                <w:rFonts w:ascii="Arial" w:hAnsi="Arial" w:cs="Arial"/>
                <w:sz w:val="20"/>
                <w:szCs w:val="20"/>
              </w:rPr>
              <w:t>2.5</w:t>
            </w:r>
          </w:p>
        </w:tc>
      </w:tr>
    </w:tbl>
    <w:p w14:paraId="55F1FD5D" w14:textId="3F91CA3A" w:rsidR="00E15637" w:rsidRDefault="00E15637" w:rsidP="000C115D">
      <w:pPr>
        <w:spacing w:after="0" w:line="240" w:lineRule="auto"/>
        <w:rPr>
          <w:rFonts w:ascii="Arial" w:eastAsia="Times New Roman" w:hAnsi="Arial" w:cs="Arial"/>
          <w:lang w:eastAsia="en-GB"/>
        </w:rPr>
      </w:pPr>
    </w:p>
    <w:bookmarkEnd w:id="2"/>
    <w:p w14:paraId="5707ED0F" w14:textId="688ACD76" w:rsidR="00E15637" w:rsidRDefault="00E15637" w:rsidP="000C115D">
      <w:pPr>
        <w:spacing w:after="0" w:line="240" w:lineRule="auto"/>
        <w:rPr>
          <w:rFonts w:ascii="Arial" w:eastAsia="Times New Roman" w:hAnsi="Arial" w:cs="Arial"/>
          <w:lang w:eastAsia="en-GB"/>
        </w:rPr>
      </w:pPr>
    </w:p>
    <w:p w14:paraId="00CCDF33" w14:textId="620F8040" w:rsidR="00FF01D4" w:rsidRDefault="008B2523" w:rsidP="008B2523">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The job plan will then be reviewed annually, following the Appraisal meeting or more frequently when there are changes in regard to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p>
    <w:p w14:paraId="153D7341" w14:textId="77777777" w:rsidR="00E15637" w:rsidRDefault="00E15637" w:rsidP="00FF01D4">
      <w:pPr>
        <w:rPr>
          <w:rFonts w:ascii="Arial" w:hAnsi="Arial" w:cs="Arial"/>
          <w:b/>
        </w:rPr>
      </w:pPr>
    </w:p>
    <w:p w14:paraId="109B4B76" w14:textId="4BD3BE6F" w:rsidR="000C115D" w:rsidRPr="0092726F" w:rsidRDefault="000C115D" w:rsidP="00FF01D4">
      <w:pPr>
        <w:rPr>
          <w:rFonts w:ascii="Arial" w:hAnsi="Arial" w:cs="Arial"/>
          <w:u w:val="single"/>
        </w:rPr>
      </w:pPr>
      <w:r w:rsidRPr="0092726F">
        <w:rPr>
          <w:rFonts w:ascii="Arial" w:hAnsi="Arial" w:cs="Arial"/>
          <w:b/>
        </w:rPr>
        <w:lastRenderedPageBreak/>
        <w:t>6.</w:t>
      </w:r>
      <w:r w:rsidRPr="0092726F">
        <w:rPr>
          <w:rFonts w:ascii="Arial" w:hAnsi="Arial" w:cs="Arial"/>
          <w:b/>
        </w:rPr>
        <w:tab/>
      </w:r>
      <w:r w:rsidRPr="0092726F">
        <w:rPr>
          <w:rFonts w:ascii="Arial" w:hAnsi="Arial" w:cs="Arial"/>
          <w:b/>
          <w:u w:val="single"/>
        </w:rPr>
        <w:t>Management Duties</w:t>
      </w:r>
    </w:p>
    <w:p w14:paraId="30AAB7F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There are no formal management or leadership responsibilities attached to this role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participate in service evaluation and information gathering exercises designed to gain a better understanding of the functioning of the service in order to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Default="0092726F" w:rsidP="00562AF3">
      <w:pPr>
        <w:spacing w:after="0" w:line="240" w:lineRule="auto"/>
        <w:jc w:val="both"/>
        <w:rPr>
          <w:rFonts w:ascii="Arial" w:hAnsi="Arial" w:cs="Arial"/>
          <w:b/>
          <w:u w:val="single"/>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27674076" w14:textId="77777777" w:rsidR="00655999" w:rsidRPr="00562AF3" w:rsidRDefault="00655999" w:rsidP="00562AF3">
      <w:pPr>
        <w:spacing w:after="0" w:line="240" w:lineRule="auto"/>
        <w:jc w:val="both"/>
        <w:rPr>
          <w:rFonts w:ascii="Arial" w:hAnsi="Arial" w:cs="Arial"/>
        </w:rPr>
      </w:pP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3" w:name="_Hlk85112913"/>
      <w:r>
        <w:rPr>
          <w:rFonts w:ascii="Arial" w:eastAsia="Times New Roman" w:hAnsi="Arial" w:cs="Arial"/>
        </w:rPr>
        <w:t>The Trust has a dedicated Education Centre near to the Bradgate Mental Health Unit on the Glenfield Hospital site.</w:t>
      </w:r>
    </w:p>
    <w:bookmarkEnd w:id="3"/>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77777777"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University of Leicester follow a standard 5 year programme.  .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3CFF5D01" w14:textId="3F20C509" w:rsidR="00D36CC6" w:rsidRPr="00927E4E" w:rsidRDefault="00D36CC6" w:rsidP="00D36CC6">
      <w:pPr>
        <w:pStyle w:val="Default"/>
        <w:rPr>
          <w:rFonts w:ascii="Arial" w:hAnsi="Arial" w:cs="Arial"/>
          <w:sz w:val="22"/>
          <w:szCs w:val="22"/>
        </w:rPr>
      </w:pPr>
      <w:r w:rsidRPr="00927E4E">
        <w:rPr>
          <w:rFonts w:ascii="Arial" w:eastAsia="Times New Roman" w:hAnsi="Arial" w:cs="Arial"/>
          <w:sz w:val="22"/>
          <w:szCs w:val="22"/>
          <w:lang w:eastAsia="en-GB"/>
        </w:rPr>
        <w:lastRenderedPageBreak/>
        <w:t>In addition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2B9FC130" w14:textId="77777777" w:rsidR="00D36CC6" w:rsidRPr="00927E4E" w:rsidRDefault="00D36CC6" w:rsidP="00D36CC6">
      <w:pPr>
        <w:pStyle w:val="Default"/>
        <w:rPr>
          <w:rFonts w:ascii="Arial" w:hAnsi="Arial" w:cs="Arial"/>
          <w:sz w:val="22"/>
          <w:szCs w:val="22"/>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Pr="00927E4E"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83F9DCC" w14:textId="77777777" w:rsidR="00D36CC6" w:rsidRDefault="00D36CC6" w:rsidP="00D36CC6">
      <w:pPr>
        <w:jc w:val="both"/>
        <w:rPr>
          <w:rFonts w:ascii="Arial" w:hAnsi="Arial" w:cs="Arial"/>
        </w:rPr>
      </w:pPr>
    </w:p>
    <w:p w14:paraId="4B9573E6" w14:textId="77777777" w:rsidR="00D36CC6" w:rsidRPr="00927E4E" w:rsidRDefault="00D36CC6" w:rsidP="00D36CC6">
      <w:pPr>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lead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761BBE"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 xml:space="preserve">group, and will take part in appraisal, and be in good standing for CPD </w:t>
      </w:r>
      <w:r w:rsidRPr="00761BBE">
        <w:rPr>
          <w:rFonts w:ascii="Arial" w:eastAsia="Times New Roman" w:hAnsi="Arial" w:cs="Arial"/>
          <w:lang w:eastAsia="en-GB"/>
        </w:rPr>
        <w:t xml:space="preserve">with the Royal College of Psychiatrists. The post holder will have access to study leave, and funding for appropriate courses, as agreed 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and there is an allowance of 30 days over a three year period to support CPD.</w:t>
      </w:r>
      <w:r w:rsidR="0047794D">
        <w:rPr>
          <w:rFonts w:ascii="Arial" w:eastAsia="Times New Roman" w:hAnsi="Arial" w:cs="Arial"/>
          <w:color w:val="000000"/>
        </w:rPr>
        <w:t xml:space="preserve">  The Trust study leave fund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lastRenderedPageBreak/>
        <w:t>LPT considers research to be core business for the organisation, and is committed to providing opportunities to both develop, host and collaborate in high quality research as a key driver in improving patient care and outcomes and to help us “Step Up To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Swithland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Research and development is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6E831EA4" w14:textId="77777777" w:rsidR="00732570" w:rsidRDefault="00732570" w:rsidP="00976E04">
      <w:pPr>
        <w:spacing w:after="0" w:line="240" w:lineRule="auto"/>
        <w:jc w:val="both"/>
        <w:rPr>
          <w:rFonts w:ascii="Arial" w:eastAsia="Times New Roman" w:hAnsi="Arial" w:cs="Arial"/>
          <w:b/>
          <w:lang w:eastAsia="en-GB"/>
        </w:rPr>
      </w:pPr>
    </w:p>
    <w:p w14:paraId="22D2719C" w14:textId="40DF5C89" w:rsidR="00E15637" w:rsidRDefault="00E15637">
      <w:pPr>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p To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Masters in Quality and Safety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All potential projects, whatever their methodology, are brought to our weekly IKH Design Huddle, where they are considered by a team of Advisors, including representation from </w:t>
      </w:r>
      <w:r w:rsidRPr="004331B3">
        <w:rPr>
          <w:rFonts w:ascii="Arial" w:hAnsi="Arial" w:cs="Arial"/>
        </w:rPr>
        <w:lastRenderedPageBreak/>
        <w:t>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t>We have strong links with colleagues from the University of Leicester and the Masters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47507F58"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r w:rsidR="00655999" w:rsidRPr="0092726F">
        <w:rPr>
          <w:rFonts w:ascii="Arial" w:eastAsia="Times New Roman" w:hAnsi="Arial" w:cs="Arial"/>
          <w:lang w:eastAsia="en-GB"/>
        </w:rPr>
        <w:t>many</w:t>
      </w:r>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456F36AF"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761BBE">
        <w:rPr>
          <w:rFonts w:ascii="Arial" w:eastAsia="Times New Roman" w:hAnsi="Arial" w:cs="Arial"/>
          <w:lang w:eastAsia="en-GB"/>
        </w:rPr>
        <w:t>4</w:t>
      </w:r>
      <w:r w:rsidR="003650A7">
        <w:rPr>
          <w:rFonts w:ascii="Arial" w:eastAsia="Times New Roman" w:hAnsi="Arial" w:cs="Arial"/>
          <w:lang w:eastAsia="en-GB"/>
        </w:rPr>
        <w:t xml:space="preserve"> is £</w:t>
      </w:r>
      <w:r w:rsidR="00655999">
        <w:rPr>
          <w:rFonts w:ascii="Arial" w:eastAsia="Times New Roman" w:hAnsi="Arial" w:cs="Arial"/>
          <w:lang w:eastAsia="en-GB"/>
        </w:rPr>
        <w:t>105,504</w:t>
      </w:r>
      <w:r w:rsidRPr="001A1669">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lastRenderedPageBreak/>
        <w:t xml:space="preserve">Annual Leave:  </w:t>
      </w:r>
      <w:r w:rsidRPr="001A1669">
        <w:rPr>
          <w:rFonts w:ascii="Arial" w:eastAsia="Times New Roman" w:hAnsi="Arial" w:cs="Arial"/>
          <w:lang w:eastAsia="en-GB"/>
        </w:rPr>
        <w:t>Entitlement will be 32 days per annum for whole time Consultants, increasing to 34 days on completion of 7 years’ service as a Consultant.  In addition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are able to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a distance of 40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4553112B" w14:textId="629BF715" w:rsidR="00392F0A" w:rsidRPr="00392F0A" w:rsidRDefault="00392F0A" w:rsidP="00392F0A">
      <w:pPr>
        <w:spacing w:after="0" w:line="240" w:lineRule="auto"/>
        <w:rPr>
          <w:rFonts w:ascii="Arial" w:hAnsi="Arial" w:cs="Arial"/>
          <w:b/>
          <w:bCs/>
        </w:rPr>
      </w:pPr>
      <w:r>
        <w:rPr>
          <w:rFonts w:ascii="Arial" w:hAnsi="Arial" w:cs="Arial"/>
          <w:b/>
          <w:bCs/>
        </w:rPr>
        <w:t>Coronavirus Regulations</w:t>
      </w:r>
    </w:p>
    <w:p w14:paraId="7ED4BAF5" w14:textId="2E83F554" w:rsidR="00392F0A" w:rsidRPr="00392F0A" w:rsidRDefault="00392F0A" w:rsidP="00392F0A">
      <w:pPr>
        <w:spacing w:after="0" w:line="240" w:lineRule="auto"/>
        <w:rPr>
          <w:rFonts w:ascii="Arial" w:hAnsi="Arial" w:cs="Arial"/>
        </w:rPr>
      </w:pPr>
      <w:r w:rsidRPr="00392F0A">
        <w:rPr>
          <w:rFonts w:ascii="Arial" w:hAnsi="Arial" w:cs="Arial"/>
        </w:rPr>
        <w:lastRenderedPageBreak/>
        <w:t xml:space="preserve">The Health and Social Care Act 2008 (Regulated Activities) (Amendment) (Coronavirus) Regulations 2021 (the Regulations) require all staff working in care homes to be up to date with their COVID vaccination status from 11 November 2021.  If these Regulations are relevant to the role that this </w:t>
      </w:r>
      <w:r w:rsidR="00BA1602">
        <w:rPr>
          <w:rFonts w:ascii="Arial" w:hAnsi="Arial" w:cs="Arial"/>
        </w:rPr>
        <w:t>post</w:t>
      </w:r>
      <w:r w:rsidRPr="00392F0A">
        <w:rPr>
          <w:rFonts w:ascii="Arial" w:hAnsi="Arial" w:cs="Arial"/>
        </w:rPr>
        <w:t xml:space="preserve"> relates to, you will be required to provide evidence that your COVID vaccination status is up to date unless you have a valid exemption.</w:t>
      </w: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Adults, and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post holder must be familiar with and comply with the all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Accurate and kept up-to-date</w:t>
      </w:r>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w:t>
            </w:r>
            <w:r w:rsidRPr="00F9363C">
              <w:rPr>
                <w:rFonts w:ascii="Arial" w:eastAsia="Times New Roman" w:hAnsi="Arial" w:cs="Arial"/>
                <w:lang w:eastAsia="en-GB"/>
              </w:rPr>
              <w:lastRenderedPageBreak/>
              <w:t xml:space="preserve">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With the increased use of information technology and e-communications, staff should also be aware that safe guards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Only use it when absolutely necessary</w:t>
            </w:r>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whether or not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lastRenderedPageBreak/>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The post holder may be required to work at any of the other sites within LPT subject to consultation.  LPT has to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7039EE52"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761BBE">
        <w:rPr>
          <w:rFonts w:ascii="Arial" w:eastAsia="Times New Roman" w:hAnsi="Arial" w:cs="Arial"/>
          <w:color w:val="000000"/>
          <w:lang w:eastAsia="en-GB"/>
        </w:rPr>
        <w:t>Dr Charlotte Messer</w:t>
      </w:r>
      <w:r w:rsidR="00655999">
        <w:rPr>
          <w:rFonts w:ascii="Arial" w:eastAsia="Times New Roman" w:hAnsi="Arial" w:cs="Arial"/>
          <w:color w:val="000000"/>
          <w:lang w:eastAsia="en-GB"/>
        </w:rPr>
        <w:t>, Clinical Director</w:t>
      </w:r>
      <w:r w:rsidRPr="001A1669">
        <w:rPr>
          <w:rFonts w:ascii="Arial" w:eastAsia="Times New Roman" w:hAnsi="Arial" w:cs="Arial"/>
          <w:color w:val="000000"/>
          <w:lang w:eastAsia="en-GB"/>
        </w:rPr>
        <w:t xml:space="preserve"> 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638A62B0" w14:textId="39C040A6" w:rsidR="00CD0B7F" w:rsidRDefault="00761BBE" w:rsidP="001A1669">
      <w:pPr>
        <w:spacing w:after="0" w:line="240" w:lineRule="auto"/>
        <w:jc w:val="both"/>
        <w:rPr>
          <w:rFonts w:ascii="Arial" w:eastAsia="Times New Roman" w:hAnsi="Arial" w:cs="Arial"/>
          <w:color w:val="FF0000"/>
          <w:lang w:eastAsia="en-GB"/>
        </w:rPr>
      </w:pPr>
      <w:r w:rsidRPr="00761BBE">
        <w:rPr>
          <w:rFonts w:ascii="Arial" w:eastAsia="Times New Roman" w:hAnsi="Arial" w:cs="Arial"/>
          <w:lang w:eastAsia="en-GB"/>
        </w:rPr>
        <w:t xml:space="preserve">Email: </w:t>
      </w:r>
      <w:hyperlink w:history="1">
        <w:r w:rsidRPr="008C6863">
          <w:rPr>
            <w:rStyle w:val="Hyperlink"/>
            <w:rFonts w:ascii="Arial" w:eastAsia="Times New Roman" w:hAnsi="Arial" w:cs="Arial"/>
            <w:lang w:eastAsia="en-GB"/>
          </w:rPr>
          <w:t>Charlotte.messer@nhs.net</w:t>
        </w:r>
      </w:hyperlink>
      <w:r>
        <w:rPr>
          <w:rFonts w:ascii="Arial" w:eastAsia="Times New Roman" w:hAnsi="Arial" w:cs="Arial"/>
          <w:color w:val="FF0000"/>
          <w:lang w:eastAsia="en-GB"/>
        </w:rPr>
        <w:t xml:space="preserve"> </w:t>
      </w:r>
    </w:p>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7DCCE2D" w14:textId="77777777"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4CDE7FDF" w14:textId="77777777" w:rsidR="00B76DF3" w:rsidRDefault="00B76DF3">
      <w:pPr>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br w:type="page"/>
      </w:r>
    </w:p>
    <w:p w14:paraId="0EDC5A97"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07"/>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77777777" w:rsidR="003265B8" w:rsidRDefault="003265B8" w:rsidP="003265B8">
      <w:pPr>
        <w:spacing w:after="0" w:line="240" w:lineRule="auto"/>
        <w:rPr>
          <w:rFonts w:ascii="Arial" w:hAnsi="Arial" w:cs="Arial"/>
        </w:rPr>
      </w:pPr>
    </w:p>
    <w:p w14:paraId="65861C97" w14:textId="77777777" w:rsidR="003265B8" w:rsidRDefault="003265B8"/>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shd w:val="clear" w:color="auto" w:fill="auto"/>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shd w:val="clear" w:color="auto" w:fill="auto"/>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shd w:val="clear" w:color="auto" w:fill="auto"/>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shd w:val="clear" w:color="auto" w:fill="auto"/>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shd w:val="clear" w:color="auto" w:fill="auto"/>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shd w:val="clear" w:color="auto" w:fill="auto"/>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shd w:val="clear" w:color="auto" w:fill="auto"/>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shd w:val="clear" w:color="auto" w:fill="auto"/>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shd w:val="clear" w:color="auto" w:fill="auto"/>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shd w:val="clear" w:color="auto" w:fill="auto"/>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shd w:val="clear" w:color="auto" w:fill="auto"/>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shd w:val="clear" w:color="auto" w:fill="auto"/>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Coalville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shd w:val="clear" w:color="auto" w:fill="auto"/>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shd w:val="clear" w:color="auto" w:fill="auto"/>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shd w:val="clear" w:color="auto" w:fill="auto"/>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shd w:val="clear" w:color="auto" w:fill="auto"/>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shd w:val="clear" w:color="auto" w:fill="auto"/>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shd w:val="clear" w:color="auto" w:fill="auto"/>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5FBE0759"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p>
    <w:p w14:paraId="182CC105" w14:textId="77777777" w:rsidR="00927D00" w:rsidRDefault="00927D00" w:rsidP="00927D00">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t>APPENDIX 3</w:t>
      </w:r>
    </w:p>
    <w:p w14:paraId="07F58E93" w14:textId="77777777" w:rsidR="00927D00" w:rsidRDefault="00927D00" w:rsidP="00927D00">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726B41E4" w14:textId="77777777" w:rsidR="00927D00" w:rsidRDefault="00927D00" w:rsidP="00927D00">
      <w:pPr>
        <w:spacing w:after="0" w:line="240" w:lineRule="auto"/>
        <w:jc w:val="center"/>
        <w:rPr>
          <w:rFonts w:ascii="Arial" w:eastAsia="Times New Roman" w:hAnsi="Arial" w:cs="Arial"/>
          <w:b/>
          <w:sz w:val="32"/>
          <w:szCs w:val="32"/>
          <w:lang w:eastAsia="en-GB"/>
        </w:rPr>
      </w:pPr>
    </w:p>
    <w:p w14:paraId="17CBB347" w14:textId="77777777" w:rsidR="00927D00" w:rsidRDefault="00927D00" w:rsidP="00927D00">
      <w:pPr>
        <w:jc w:val="both"/>
        <w:rPr>
          <w:rFonts w:ascii="Calibri" w:eastAsia="Calibri" w:hAnsi="Calibri" w:cs="Times New Roman"/>
        </w:rPr>
      </w:pPr>
      <w:r>
        <w:rPr>
          <w:rFonts w:ascii="Arial" w:hAnsi="Arial" w:cs="Arial"/>
          <w:b/>
        </w:rPr>
        <w:t xml:space="preserve">College of Life Sciences </w:t>
      </w:r>
      <w:hyperlink w:history="1">
        <w:r>
          <w:rPr>
            <w:rStyle w:val="Hyperlink"/>
            <w:rFonts w:ascii="Arial" w:hAnsi="Arial" w:cs="Arial"/>
          </w:rPr>
          <w:t>http://www2.le.ac.uk/colleges/medbiopsych</w:t>
        </w:r>
      </w:hyperlink>
    </w:p>
    <w:p w14:paraId="7CA9708C" w14:textId="77777777" w:rsidR="00927D00" w:rsidRDefault="00927D00" w:rsidP="00927D00">
      <w:pPr>
        <w:jc w:val="both"/>
      </w:pPr>
      <w:r>
        <w:rPr>
          <w:rFonts w:ascii="Arial" w:hAnsi="Arial" w:cs="Arial"/>
          <w:b/>
          <w:bCs/>
          <w:i/>
        </w:rPr>
        <w:t>Pro Vice-Chancellor, Head of College and Dean of Medicine:</w:t>
      </w:r>
      <w:r>
        <w:rPr>
          <w:rFonts w:ascii="Arial" w:hAnsi="Arial" w:cs="Arial"/>
          <w:bCs/>
        </w:rPr>
        <w:t xml:space="preserve"> </w:t>
      </w:r>
    </w:p>
    <w:p w14:paraId="0B4FAF30" w14:textId="77777777" w:rsidR="00927D00" w:rsidRDefault="00927D00" w:rsidP="00927D00">
      <w:pPr>
        <w:jc w:val="both"/>
        <w:rPr>
          <w:rFonts w:ascii="Arial" w:hAnsi="Arial" w:cs="Arial"/>
          <w:bCs/>
        </w:rPr>
      </w:pPr>
      <w:r>
        <w:rPr>
          <w:rFonts w:ascii="Arial" w:hAnsi="Arial" w:cs="Arial"/>
          <w:bCs/>
        </w:rPr>
        <w:t>Professor Thompson Robinson BMedSci MD FRCP FESO.</w:t>
      </w:r>
    </w:p>
    <w:p w14:paraId="0B006F86" w14:textId="77777777" w:rsidR="00927D00" w:rsidRDefault="00927D00" w:rsidP="00927D00">
      <w:pPr>
        <w:pStyle w:val="HRHeading2"/>
        <w:spacing w:before="0" w:after="120"/>
        <w:jc w:val="both"/>
      </w:pPr>
      <w:r>
        <w:rPr>
          <w:rFonts w:ascii="Arial" w:eastAsia="Times New Roman" w:hAnsi="Arial" w:cs="Arial"/>
          <w:b w:val="0"/>
          <w:sz w:val="22"/>
          <w:szCs w:val="22"/>
        </w:rPr>
        <w:t>The University of Leicester, with Leicestershire Partnership NHS Trust, is committed to enhancing the partnership between academia and the NHS in Leicester, Leicestershire, Rutland, and the wider geographical area.  A strong synergy between our organisations is the key to success. Major contributions made by consultant colleagues to the academic mission through research, teaching and education, clinical leadership, enterprise and innovation are recognised by the award of a range of honorary titles from Honorary Fellow through to Honorary Professor.</w:t>
      </w:r>
      <w:r>
        <w:rPr>
          <w:rFonts w:ascii="Arial" w:hAnsi="Arial" w:cs="Arial"/>
          <w:b w:val="0"/>
          <w:sz w:val="22"/>
          <w:szCs w:val="22"/>
        </w:rPr>
        <w:t xml:space="preserve"> </w:t>
      </w:r>
    </w:p>
    <w:p w14:paraId="2AC32C2A" w14:textId="77777777" w:rsidR="00927D00" w:rsidRDefault="00927D00" w:rsidP="00927D00">
      <w:pPr>
        <w:pStyle w:val="HRHeading2"/>
        <w:spacing w:before="0" w:after="120"/>
        <w:jc w:val="both"/>
        <w:rPr>
          <w:rFonts w:ascii="Arial" w:hAnsi="Arial" w:cs="Arial"/>
          <w:b w:val="0"/>
          <w:bCs w:val="0"/>
          <w:sz w:val="22"/>
          <w:szCs w:val="22"/>
        </w:rPr>
      </w:pPr>
    </w:p>
    <w:p w14:paraId="1C8221D9" w14:textId="77777777" w:rsidR="00927D00" w:rsidRDefault="00927D00" w:rsidP="00927D00">
      <w:pPr>
        <w:pStyle w:val="HRHeading2"/>
        <w:spacing w:before="0" w:after="120"/>
        <w:jc w:val="both"/>
      </w:pPr>
      <w:r>
        <w:rPr>
          <w:rFonts w:ascii="Arial" w:hAnsi="Arial" w:cs="Arial"/>
          <w:b w:val="0"/>
          <w:bCs w:val="0"/>
          <w:sz w:val="22"/>
          <w:szCs w:val="22"/>
        </w:rPr>
        <w:t xml:space="preserve">The mission of the College of Life Sciences is to pursue the highest standards of research, education and training in biomedical and related subjects, and to apply this knowledge and expertise to enhance the quality of life and economic prosperity of populations, both locally and in the wider world. </w:t>
      </w:r>
      <w:r>
        <w:rPr>
          <w:rFonts w:ascii="Arial" w:hAnsi="Arial" w:cs="Arial"/>
          <w:b w:val="0"/>
          <w:sz w:val="22"/>
          <w:szCs w:val="22"/>
        </w:rPr>
        <w:t>Its considerable academic resources mean that it is widely recognised for its world-leading and internationally excellent research and the quality of its undergraduate and postgraduate teaching.</w:t>
      </w:r>
    </w:p>
    <w:p w14:paraId="47594C76" w14:textId="77777777" w:rsidR="00927D00" w:rsidRDefault="00927D00" w:rsidP="00927D00">
      <w:pPr>
        <w:spacing w:after="0" w:line="240" w:lineRule="auto"/>
        <w:jc w:val="both"/>
        <w:rPr>
          <w:rFonts w:ascii="Arial" w:hAnsi="Arial" w:cs="Arial"/>
        </w:rPr>
      </w:pPr>
      <w:r>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 The George Davies Centre is the largest investment in medical teaching and applied research by a UK university in the last decade. 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47D72169" w14:textId="77777777" w:rsidR="00927D00" w:rsidRDefault="00927D00" w:rsidP="00927D00">
      <w:pPr>
        <w:spacing w:after="0" w:line="240" w:lineRule="auto"/>
        <w:jc w:val="both"/>
        <w:rPr>
          <w:rFonts w:ascii="Arial" w:hAnsi="Arial" w:cs="Arial"/>
        </w:rPr>
      </w:pPr>
    </w:p>
    <w:p w14:paraId="23298B1E" w14:textId="77777777" w:rsidR="00927D00" w:rsidRDefault="00927D00" w:rsidP="00927D00">
      <w:pPr>
        <w:spacing w:after="0" w:line="240" w:lineRule="auto"/>
        <w:jc w:val="both"/>
        <w:rPr>
          <w:rFonts w:ascii="Calibri" w:hAnsi="Calibri" w:cs="Times New Roman"/>
        </w:rPr>
      </w:pPr>
      <w:r>
        <w:rPr>
          <w:rFonts w:ascii="Arial" w:hAnsi="Arial" w:cs="Arial"/>
        </w:rPr>
        <w:t>The high calibre of our academic endeavour is increasingly being recognised, with the latest Research Excellence Framework (REF2021) ranking the University of Leicester 2</w:t>
      </w:r>
      <w:r>
        <w:rPr>
          <w:rFonts w:ascii="Arial" w:hAnsi="Arial" w:cs="Arial"/>
          <w:vertAlign w:val="superscript"/>
        </w:rPr>
        <w:t>nd</w:t>
      </w:r>
      <w:r>
        <w:rPr>
          <w:rFonts w:ascii="Arial" w:hAnsi="Arial" w:cs="Arial"/>
        </w:rPr>
        <w:t xml:space="preserve"> for Clinical Medicine (UoA1), with 95% of our submission ranked world-leading (4-star) or internationally excellent (3-star).  In addition, we were also the 2</w:t>
      </w:r>
      <w:r>
        <w:rPr>
          <w:rFonts w:ascii="Arial" w:hAnsi="Arial" w:cs="Arial"/>
          <w:vertAlign w:val="superscript"/>
        </w:rPr>
        <w:t>nd</w:t>
      </w:r>
      <w:r>
        <w:rPr>
          <w:rFonts w:ascii="Arial" w:hAnsi="Arial" w:cs="Arial"/>
        </w:rPr>
        <w:t xml:space="preserve"> highest rated institution for Sports and Exercise Sciences (UoA24). These results have had a significant impact on our international and national standing; Leicester was ranked 18</w:t>
      </w:r>
      <w:r>
        <w:rPr>
          <w:rFonts w:ascii="Arial" w:hAnsi="Arial" w:cs="Arial"/>
          <w:vertAlign w:val="superscript"/>
        </w:rPr>
        <w:t>th</w:t>
      </w:r>
      <w:r>
        <w:rPr>
          <w:rFonts w:ascii="Arial" w:hAnsi="Arial" w:cs="Arial"/>
        </w:rPr>
        <w:t xml:space="preserve"> (of almost 3,000 medical schools) in both the 2021 and 2022 Shanghai World Ranking, and 5th in the UK (the highest rank for Clinical Medicine outside of the Golden Triangle). In addition, Medicine was ranked 7</w:t>
      </w:r>
      <w:r>
        <w:rPr>
          <w:rFonts w:ascii="Arial" w:hAnsi="Arial" w:cs="Arial"/>
          <w:vertAlign w:val="superscript"/>
        </w:rPr>
        <w:t>th</w:t>
      </w:r>
      <w:r>
        <w:rPr>
          <w:rFonts w:ascii="Arial" w:hAnsi="Arial" w:cs="Arial"/>
        </w:rPr>
        <w:t xml:space="preserve"> in the Complete University Guide 2023; a rise of 18 places.</w:t>
      </w:r>
    </w:p>
    <w:p w14:paraId="0BCACCCD" w14:textId="77777777" w:rsidR="00927D00" w:rsidRDefault="00927D00" w:rsidP="00927D00">
      <w:pPr>
        <w:spacing w:after="0" w:line="240" w:lineRule="auto"/>
        <w:jc w:val="both"/>
      </w:pPr>
    </w:p>
    <w:p w14:paraId="7E1F9236" w14:textId="77777777" w:rsidR="00927D00" w:rsidRDefault="00927D00" w:rsidP="00927D00">
      <w:pPr>
        <w:spacing w:after="0" w:line="240" w:lineRule="auto"/>
        <w:jc w:val="both"/>
        <w:rPr>
          <w:rFonts w:ascii="Arial" w:hAnsi="Arial" w:cs="Arial"/>
        </w:rPr>
      </w:pPr>
      <w:r>
        <w:rPr>
          <w:rFonts w:ascii="Arial" w:hAnsi="Arial" w:cs="Arial"/>
        </w:rPr>
        <w:t>The College comprises a matrix structure of four Research Departments: Cardiovascular Sciences, Genetics and Genome Biology, Molecular and Cell Biology, Population Health Sciences, Respiratory Sciences; two Teaching Schools: Leicester Medical School, School of Biological Sciences; and two combined Research and Teaching Schools: School of Healthcare and School of Psychology and Vision Sciences.</w:t>
      </w:r>
    </w:p>
    <w:p w14:paraId="1C39153C" w14:textId="77777777" w:rsidR="00927D00" w:rsidRDefault="00927D00" w:rsidP="00927D00">
      <w:pPr>
        <w:spacing w:after="0" w:line="240" w:lineRule="auto"/>
        <w:jc w:val="both"/>
        <w:rPr>
          <w:rFonts w:ascii="Arial" w:hAnsi="Arial" w:cs="Arial"/>
        </w:rPr>
      </w:pPr>
    </w:p>
    <w:p w14:paraId="54F05CC3" w14:textId="77777777" w:rsidR="00927D00" w:rsidRDefault="00927D00" w:rsidP="00927D00">
      <w:pPr>
        <w:spacing w:after="0" w:line="240" w:lineRule="auto"/>
        <w:jc w:val="both"/>
        <w:rPr>
          <w:rFonts w:ascii="Calibri" w:hAnsi="Calibri" w:cs="Times New Roman"/>
        </w:rPr>
      </w:pPr>
      <w:r>
        <w:rPr>
          <w:rFonts w:ascii="Arial" w:hAnsi="Arial" w:cs="Arial"/>
        </w:rPr>
        <w:t xml:space="preserve">The University Strategy recognises the Mission of the University as ‘diverse in our make-up and united in our ambition, we change lives through education and research’. Our vision is to </w:t>
      </w:r>
      <w:r>
        <w:rPr>
          <w:rFonts w:ascii="Arial" w:hAnsi="Arial" w:cs="Arial"/>
        </w:rPr>
        <w:lastRenderedPageBreak/>
        <w:t xml:space="preserve">provide inspiring education and research working in partnership with our communities to become a truly inclusive theme. Our strategy consists of three themes, World-Changing Research, Research-Inspired Education and Our Citizens, underpinned by our three values of: </w:t>
      </w:r>
      <w:r>
        <w:rPr>
          <w:rFonts w:ascii="Arial" w:hAnsi="Arial" w:cs="Arial"/>
          <w:b/>
          <w:bCs/>
          <w:i/>
          <w:iCs/>
        </w:rPr>
        <w:t>Inclusive</w:t>
      </w:r>
      <w:r>
        <w:rPr>
          <w:rFonts w:ascii="Arial" w:hAnsi="Arial" w:cs="Arial"/>
        </w:rPr>
        <w:t xml:space="preserve">, diverse in our makeup and united in ambition; </w:t>
      </w:r>
      <w:r>
        <w:rPr>
          <w:rFonts w:ascii="Arial" w:hAnsi="Arial" w:cs="Arial"/>
          <w:b/>
          <w:bCs/>
          <w:i/>
          <w:iCs/>
        </w:rPr>
        <w:t>Inspiring</w:t>
      </w:r>
      <w:r>
        <w:rPr>
          <w:rFonts w:ascii="Arial" w:hAnsi="Arial" w:cs="Arial"/>
        </w:rPr>
        <w:t xml:space="preserve">, passionate about inspiring individuals to succeed and realise their ambitions; and </w:t>
      </w:r>
      <w:r>
        <w:rPr>
          <w:rFonts w:ascii="Arial" w:hAnsi="Arial" w:cs="Arial"/>
          <w:b/>
          <w:bCs/>
          <w:i/>
          <w:iCs/>
        </w:rPr>
        <w:t>Impactful</w:t>
      </w:r>
      <w:r>
        <w:rPr>
          <w:rFonts w:ascii="Arial" w:hAnsi="Arial" w:cs="Arial"/>
        </w:rPr>
        <w:t>, as Citizens of Change we generate new ideas which deliver impact and empower our community</w:t>
      </w:r>
    </w:p>
    <w:p w14:paraId="242386FF" w14:textId="77777777" w:rsidR="00927D00" w:rsidRDefault="00927D00" w:rsidP="00927D00">
      <w:pPr>
        <w:jc w:val="both"/>
        <w:rPr>
          <w:rFonts w:ascii="Arial" w:hAnsi="Arial" w:cs="Arial"/>
          <w:b/>
        </w:rPr>
      </w:pPr>
    </w:p>
    <w:p w14:paraId="01FEBC88" w14:textId="77777777" w:rsidR="00927D00" w:rsidRDefault="00927D00" w:rsidP="00927D00">
      <w:pPr>
        <w:jc w:val="both"/>
        <w:rPr>
          <w:rFonts w:ascii="Arial" w:hAnsi="Arial" w:cs="Arial"/>
          <w:b/>
        </w:rPr>
      </w:pPr>
      <w:r>
        <w:rPr>
          <w:rFonts w:ascii="Arial" w:hAnsi="Arial" w:cs="Arial"/>
          <w:b/>
        </w:rPr>
        <w:t>World-Changing Research</w:t>
      </w:r>
    </w:p>
    <w:p w14:paraId="2493635B" w14:textId="77777777" w:rsidR="00927D00" w:rsidRDefault="00927D00" w:rsidP="00927D00">
      <w:pPr>
        <w:spacing w:after="0" w:line="240" w:lineRule="auto"/>
        <w:jc w:val="both"/>
        <w:rPr>
          <w:rFonts w:ascii="Calibri" w:hAnsi="Calibri" w:cs="Times New Roman"/>
        </w:rPr>
      </w:pPr>
      <w:r>
        <w:rPr>
          <w:rFonts w:ascii="Arial" w:hAnsi="Arial" w:cs="Arial"/>
        </w:rPr>
        <w:t xml:space="preserve">The University’s institutional research strategy emphasizes our commitment to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College around which much of our research is now focused. These include two Institutes: </w:t>
      </w:r>
      <w:hyperlink w:history="1">
        <w:r>
          <w:rPr>
            <w:rStyle w:val="Hyperlink"/>
            <w:rFonts w:ascii="Arial" w:hAnsi="Arial" w:cs="Arial"/>
          </w:rPr>
          <w:t>Leicester Institute of Structural and Chemical Biology</w:t>
        </w:r>
      </w:hyperlink>
      <w:r>
        <w:rPr>
          <w:rStyle w:val="Hyperlink"/>
          <w:rFonts w:ascii="Arial" w:hAnsi="Arial" w:cs="Arial"/>
        </w:rPr>
        <w:t xml:space="preserve"> (Led by Prof John Schwabe) and </w:t>
      </w:r>
      <w:r>
        <w:rPr>
          <w:rFonts w:ascii="Arial" w:hAnsi="Arial" w:cs="Arial"/>
        </w:rPr>
        <w:t>the Leicester Institute for Precision Health (led by Professor Chris Brightling); and  nine Research Centres: Centre for Cancer Research, Centre for Diabetes Research, Centre for Microbial and Infectious Disease, Centre for Environmental Health and Sustainability, Centre for Phage Research, Centre for Lifespan Health and Wellbeing, Centre for Fibrosis Research, Centre for Sarcopenia and Muscle Research, and Centre for Population Health.</w:t>
      </w:r>
    </w:p>
    <w:p w14:paraId="45576B82" w14:textId="77777777" w:rsidR="00927D00" w:rsidRDefault="00927D00" w:rsidP="00927D00">
      <w:pPr>
        <w:spacing w:after="0" w:line="240" w:lineRule="auto"/>
        <w:jc w:val="both"/>
      </w:pPr>
    </w:p>
    <w:p w14:paraId="45C435B7" w14:textId="77777777" w:rsidR="00927D00" w:rsidRDefault="00927D00" w:rsidP="00927D00">
      <w:pPr>
        <w:pStyle w:val="HRNormal"/>
        <w:spacing w:after="0"/>
        <w:ind w:left="0"/>
        <w:jc w:val="both"/>
        <w:rPr>
          <w:rFonts w:ascii="Arial" w:hAnsi="Arial" w:cs="Arial"/>
        </w:rPr>
      </w:pPr>
      <w:r>
        <w:rPr>
          <w:rFonts w:ascii="Arial" w:hAnsi="Arial" w:cs="Arial"/>
        </w:rPr>
        <w:t xml:space="preserve">The NIHR Biomedical Research Centre (BRC) is a collaboration between the University of Leicester, the University of Loughborough, the University Hospitals of Leicester NHS Trust and the University Hospitals of Northamptonshire NHS Group. A recently awarded expanded BRC with six themes has received a 2.5-fold increase in funding, and brings together the work of: Cardiovascular; Respiratory and Infection; Lifestyle; Personalised Cancer Prevention and Treatment; Environment; and Data innovation for Multiple Long-Term Conditions and Ethnic Health.  </w:t>
      </w:r>
    </w:p>
    <w:p w14:paraId="134D7F01" w14:textId="77777777" w:rsidR="00927D00" w:rsidRDefault="00927D00" w:rsidP="00927D00">
      <w:pPr>
        <w:jc w:val="both"/>
        <w:rPr>
          <w:rFonts w:ascii="Arial" w:hAnsi="Arial" w:cs="Arial"/>
        </w:rPr>
      </w:pPr>
    </w:p>
    <w:p w14:paraId="1F0E14D2" w14:textId="77777777" w:rsidR="00927D00" w:rsidRDefault="00927D00" w:rsidP="00927D00">
      <w:pPr>
        <w:spacing w:after="0" w:line="240" w:lineRule="auto"/>
        <w:jc w:val="both"/>
        <w:rPr>
          <w:rFonts w:ascii="Arial" w:hAnsi="Arial" w:cs="Arial"/>
        </w:rPr>
      </w:pPr>
      <w:r>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7A416C64" w14:textId="77777777" w:rsidR="00927D00" w:rsidRDefault="00927D00" w:rsidP="00927D00">
      <w:pPr>
        <w:spacing w:after="0" w:line="240" w:lineRule="auto"/>
        <w:jc w:val="both"/>
        <w:rPr>
          <w:rFonts w:ascii="Arial" w:hAnsi="Arial" w:cs="Arial"/>
        </w:rPr>
      </w:pPr>
    </w:p>
    <w:p w14:paraId="3AE829B2" w14:textId="77777777" w:rsidR="00927D00" w:rsidRDefault="00927D00" w:rsidP="00927D00">
      <w:pPr>
        <w:spacing w:after="0" w:line="240" w:lineRule="auto"/>
        <w:jc w:val="both"/>
        <w:rPr>
          <w:rFonts w:ascii="Arial" w:hAnsi="Arial" w:cs="Arial"/>
        </w:rPr>
      </w:pPr>
      <w:r>
        <w:rPr>
          <w:rFonts w:ascii="Arial" w:hAnsi="Arial" w:cs="Arial"/>
        </w:rPr>
        <w:t>The College continues to grow funded research activity with a dual approach of encouraging individuals to win project grants and personal fellowships, and supporting teams to achieve major awards with large strategic initiatives. Examples of Leicester’s infrastructure success include: an NIHR Biomedical Research Centre, an NIHR Global Research Centre, an NIHR Patient Recruitment Centre, an NIHR Applied Research Collaboration (ARC), an NIHR Clinical Research Facility, an Experimental Cancer Medicine Centre, an MRC Impact Accelerator Account, an MRC Midlands Cryo-Electron Microscope Facility, the Midlands Health Data Research UK Substantive Site, a British Heart Foundation Research Accelerator Award, and a Wellcome Doctoral Training Programme for Health Care Professionals.</w:t>
      </w:r>
    </w:p>
    <w:p w14:paraId="779464C2" w14:textId="77777777" w:rsidR="00927D00" w:rsidRDefault="00927D00" w:rsidP="00927D00">
      <w:pPr>
        <w:spacing w:after="0" w:line="240" w:lineRule="auto"/>
        <w:jc w:val="both"/>
        <w:rPr>
          <w:rFonts w:ascii="Arial" w:hAnsi="Arial" w:cs="Arial"/>
        </w:rPr>
      </w:pPr>
    </w:p>
    <w:p w14:paraId="12EA512D" w14:textId="77777777" w:rsidR="00927D00" w:rsidRDefault="00927D00" w:rsidP="00927D00">
      <w:pPr>
        <w:spacing w:after="0" w:line="240" w:lineRule="auto"/>
        <w:jc w:val="both"/>
        <w:rPr>
          <w:rFonts w:ascii="Arial" w:hAnsi="Arial" w:cs="Arial"/>
        </w:rPr>
      </w:pPr>
      <w:r>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and other partners, University Hospitals of Leicester NHS Trust, Leicestershire Partnership NHS Trust and University Hospitals of Northamptonshire NHS Group, West Anglia NHS Foundation Trust and LOROS (Hospice Care for Leicester, Leicestershire and Rutland),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w:t>
      </w:r>
      <w:r>
        <w:rPr>
          <w:rFonts w:ascii="Arial" w:hAnsi="Arial" w:cs="Arial"/>
        </w:rPr>
        <w:lastRenderedPageBreak/>
        <w:t>also very conscious of the need to play to our institutional and regional strengths, and are engaging closely with Leicester City and County Councils, and the Midlands Health Innovation network of regional Universities.</w:t>
      </w:r>
    </w:p>
    <w:p w14:paraId="4238F800" w14:textId="77777777" w:rsidR="00927D00" w:rsidRDefault="00927D00" w:rsidP="00927D00">
      <w:pPr>
        <w:jc w:val="both"/>
        <w:rPr>
          <w:rFonts w:ascii="Arial" w:hAnsi="Arial" w:cs="Arial"/>
          <w:b/>
        </w:rPr>
      </w:pPr>
    </w:p>
    <w:p w14:paraId="1E8EEAE0" w14:textId="77777777" w:rsidR="00927D00" w:rsidRDefault="00927D00" w:rsidP="00927D00">
      <w:pPr>
        <w:jc w:val="both"/>
        <w:rPr>
          <w:rFonts w:ascii="Arial" w:hAnsi="Arial" w:cs="Arial"/>
          <w:b/>
        </w:rPr>
      </w:pPr>
      <w:r>
        <w:rPr>
          <w:rFonts w:ascii="Arial" w:hAnsi="Arial" w:cs="Arial"/>
          <w:b/>
        </w:rPr>
        <w:t>Research-Inspired Education</w:t>
      </w:r>
    </w:p>
    <w:p w14:paraId="6BD542CD" w14:textId="77777777" w:rsidR="00927D00" w:rsidRDefault="00927D00" w:rsidP="00927D00">
      <w:pPr>
        <w:spacing w:after="0" w:line="240" w:lineRule="auto"/>
        <w:jc w:val="both"/>
        <w:rPr>
          <w:rFonts w:ascii="Arial" w:hAnsi="Arial" w:cs="Arial"/>
        </w:rPr>
      </w:pPr>
      <w:r>
        <w:rPr>
          <w:rFonts w:ascii="Arial" w:hAnsi="Arial" w:cs="Arial"/>
        </w:rPr>
        <w:t xml:space="preserve">Our ambition is to deliver a world-class, discovery-led and discovery-enabling learning experience in all teaching. There are programmes in Medicine and a growing range of healthcare professions including Midwifery with Leadership, Nursing with Leadership, Operating Department Practice, Physiotherapy and Radiography; a new Clinical Pharmacy course is also planned. </w:t>
      </w:r>
    </w:p>
    <w:p w14:paraId="6F70B1D9" w14:textId="77777777" w:rsidR="00927D00" w:rsidRDefault="00927D00" w:rsidP="00927D00">
      <w:pPr>
        <w:spacing w:after="0" w:line="240" w:lineRule="auto"/>
        <w:jc w:val="both"/>
        <w:rPr>
          <w:rFonts w:ascii="Arial" w:hAnsi="Arial" w:cs="Arial"/>
        </w:rPr>
      </w:pPr>
    </w:p>
    <w:p w14:paraId="5163C9F1" w14:textId="77777777" w:rsidR="00927D00" w:rsidRDefault="00927D00" w:rsidP="00927D00">
      <w:pPr>
        <w:pStyle w:val="CommentText"/>
        <w:jc w:val="both"/>
        <w:rPr>
          <w:rFonts w:ascii="Arial" w:hAnsi="Arial" w:cs="Arial"/>
          <w:sz w:val="22"/>
          <w:szCs w:val="22"/>
        </w:rPr>
      </w:pPr>
      <w:r>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7C4702FB" w14:textId="77777777" w:rsidR="00927D00" w:rsidRDefault="00927D00" w:rsidP="00927D00">
      <w:pPr>
        <w:jc w:val="both"/>
        <w:rPr>
          <w:rFonts w:ascii="Arial" w:hAnsi="Arial" w:cs="Arial"/>
        </w:rPr>
      </w:pPr>
      <w:r>
        <w:rPr>
          <w:rFonts w:ascii="Arial" w:hAnsi="Arial" w:cs="Arial"/>
        </w:rPr>
        <w:t>The course features:</w:t>
      </w:r>
    </w:p>
    <w:p w14:paraId="4B4A4E9E"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 xml:space="preserve">A clinical focus throughout underpinned by excellence in bioscience, and access to one of the largest dissection suites in the UK; </w:t>
      </w:r>
    </w:p>
    <w:p w14:paraId="7CB6F1EA"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Early clinical experience including a new Healthcare Assistant  (HCA) programme in year one;</w:t>
      </w:r>
    </w:p>
    <w:p w14:paraId="116B9B24"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A strong group-work provision supporting student learning throughout the course;</w:t>
      </w:r>
    </w:p>
    <w:p w14:paraId="682B74BD"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A wide range of hospital and GP placements with many areas of national excellence;</w:t>
      </w:r>
    </w:p>
    <w:p w14:paraId="662A6D7F" w14:textId="77777777" w:rsidR="00927D00" w:rsidRDefault="00927D00" w:rsidP="00927D00">
      <w:pPr>
        <w:pStyle w:val="CommentText"/>
        <w:widowControl w:val="0"/>
        <w:numPr>
          <w:ilvl w:val="0"/>
          <w:numId w:val="35"/>
        </w:numPr>
        <w:suppressAutoHyphens/>
        <w:autoSpaceDN w:val="0"/>
        <w:spacing w:after="0"/>
        <w:jc w:val="both"/>
        <w:rPr>
          <w:rFonts w:ascii="Arial" w:hAnsi="Arial" w:cs="Arial"/>
          <w:sz w:val="22"/>
          <w:szCs w:val="22"/>
        </w:rPr>
      </w:pPr>
      <w:r>
        <w:rPr>
          <w:rFonts w:ascii="Arial" w:hAnsi="Arial" w:cs="Arial"/>
          <w:sz w:val="22"/>
          <w:szCs w:val="22"/>
        </w:rPr>
        <w:t>Excellent intercalated degree opportunities, with particular strengths in our iMSc in Research and a new Masters in Clinical Education; and</w:t>
      </w:r>
    </w:p>
    <w:p w14:paraId="04B77E20" w14:textId="77777777" w:rsidR="00927D00" w:rsidRDefault="00927D00" w:rsidP="00927D00">
      <w:pPr>
        <w:pStyle w:val="CommentText"/>
        <w:widowControl w:val="0"/>
        <w:numPr>
          <w:ilvl w:val="0"/>
          <w:numId w:val="35"/>
        </w:numPr>
        <w:suppressAutoHyphens/>
        <w:autoSpaceDN w:val="0"/>
        <w:spacing w:after="0"/>
        <w:jc w:val="both"/>
        <w:rPr>
          <w:rFonts w:ascii="Calibri" w:hAnsi="Calibri" w:cs="Times New Roman"/>
        </w:rPr>
      </w:pPr>
      <w:r>
        <w:rPr>
          <w:rFonts w:ascii="Arial" w:hAnsi="Arial" w:cs="Arial"/>
          <w:sz w:val="22"/>
          <w:szCs w:val="22"/>
          <w:shd w:val="clear" w:color="auto" w:fill="FFFFFF"/>
        </w:rPr>
        <w:t>Foundation Assistantships in year  5 which has enhanced our graduates preparedness for work as a Foundation doctor</w:t>
      </w:r>
    </w:p>
    <w:p w14:paraId="0E6E5510" w14:textId="77777777" w:rsidR="00927D00" w:rsidRDefault="00927D00" w:rsidP="00927D00">
      <w:pPr>
        <w:pStyle w:val="CommentText"/>
        <w:jc w:val="both"/>
        <w:rPr>
          <w:rFonts w:ascii="Arial" w:hAnsi="Arial" w:cs="Arial"/>
          <w:sz w:val="22"/>
          <w:szCs w:val="22"/>
        </w:rPr>
      </w:pPr>
    </w:p>
    <w:p w14:paraId="39C20C92" w14:textId="77777777" w:rsidR="00927D00" w:rsidRDefault="00927D00" w:rsidP="00927D00">
      <w:pPr>
        <w:pStyle w:val="CommentText"/>
        <w:jc w:val="both"/>
        <w:rPr>
          <w:rFonts w:ascii="Calibri" w:hAnsi="Calibri" w:cs="Times New Roman"/>
        </w:rPr>
      </w:pPr>
      <w:r>
        <w:rPr>
          <w:rFonts w:ascii="Arial" w:hAnsi="Arial" w:cs="Arial"/>
          <w:sz w:val="22"/>
          <w:szCs w:val="22"/>
        </w:rPr>
        <w:t xml:space="preserve">We are also proud of our work widening participation to medicine, and have developed an excellent </w:t>
      </w:r>
      <w:hyperlink w:history="1">
        <w:r>
          <w:rPr>
            <w:rStyle w:val="Hyperlink"/>
            <w:rFonts w:ascii="Arial" w:hAnsi="Arial" w:cs="Arial"/>
            <w:sz w:val="22"/>
            <w:szCs w:val="22"/>
          </w:rPr>
          <w:t>Medicine with Foundation Year MB ChB</w:t>
        </w:r>
      </w:hyperlink>
      <w:r>
        <w:rPr>
          <w:rFonts w:ascii="Arial" w:hAnsi="Arial" w:cs="Arial"/>
          <w:sz w:val="22"/>
          <w:szCs w:val="22"/>
        </w:rPr>
        <w:t xml:space="preserve"> which was launched in 2017.  This recruits 35 students to an </w:t>
      </w:r>
      <w:r>
        <w:rPr>
          <w:rFonts w:ascii="Arial" w:hAnsi="Arial" w:cs="Arial"/>
          <w:sz w:val="22"/>
          <w:szCs w:val="22"/>
          <w:shd w:val="clear" w:color="auto" w:fill="FFFFFF"/>
        </w:rPr>
        <w:t xml:space="preserve">integrated Foundation Year enabling progression onto Year 1 of the MB ChB course. Since 2020, we also have an international joint educational partnership with the Chongqing Medical University, where students gain a Clinical Medicine degree in China and a Bachelor of Sciences in Clinical Sciences from the University of Leicester; spending a year of their course at Leicester. </w:t>
      </w:r>
    </w:p>
    <w:p w14:paraId="64691AFF" w14:textId="77777777" w:rsidR="00927D00" w:rsidRDefault="00927D00" w:rsidP="00927D00">
      <w:pPr>
        <w:pStyle w:val="CommentText"/>
        <w:jc w:val="both"/>
      </w:pPr>
      <w:r>
        <w:rPr>
          <w:rFonts w:ascii="Arial" w:hAnsi="Arial" w:cs="Arial"/>
          <w:sz w:val="22"/>
          <w:szCs w:val="22"/>
          <w:shd w:val="clear" w:color="auto" w:fill="FFFFFF"/>
        </w:rPr>
        <w:t>The Stoneygate Centre of Excellence in Empathic Healthcare was launched in 2022, following a major philanthropic donation to the University. The Centre will be a flagship institute and be world-leading: in the development and delivery of transformational empathy training; in establishing the best means of assessing clinical empathy; and in measuring the impact of empathic healthcare on patient and practitioner outcomes.</w:t>
      </w:r>
    </w:p>
    <w:p w14:paraId="2F3DA04C" w14:textId="77777777" w:rsidR="00927D00" w:rsidRDefault="00927D00" w:rsidP="00927D00">
      <w:pPr>
        <w:spacing w:after="0" w:line="240" w:lineRule="auto"/>
        <w:jc w:val="both"/>
        <w:rPr>
          <w:rFonts w:ascii="Arial" w:hAnsi="Arial" w:cs="Arial"/>
        </w:rPr>
      </w:pPr>
      <w:r>
        <w:rPr>
          <w:rFonts w:ascii="Arial" w:hAnsi="Arial" w:cs="Arial"/>
        </w:rPr>
        <w:t xml:space="preserve">In addition there are a broad range of programmes in Biological Sciences and Psychology at both undergraduate and postgraduate levels, including the DClinPsych. A new suite of postgraduate programmes reflecting the areas of research excellence in the College is under development including strengths in epidemiology, diabetes, medical statistics, quality and safety in healthcare, and social sciences in medicine. </w:t>
      </w:r>
    </w:p>
    <w:p w14:paraId="6A3B6085" w14:textId="77777777" w:rsidR="00927D00" w:rsidRDefault="00927D00" w:rsidP="00927D00">
      <w:pPr>
        <w:jc w:val="both"/>
        <w:rPr>
          <w:rFonts w:ascii="Arial" w:hAnsi="Arial" w:cs="Arial"/>
        </w:rPr>
      </w:pPr>
    </w:p>
    <w:p w14:paraId="02F2B127" w14:textId="77777777" w:rsidR="00927D00" w:rsidRDefault="00927D00" w:rsidP="00927D00">
      <w:pPr>
        <w:jc w:val="both"/>
        <w:rPr>
          <w:rFonts w:ascii="Arial" w:hAnsi="Arial" w:cs="Arial"/>
          <w:b/>
          <w:bCs/>
        </w:rPr>
      </w:pPr>
      <w:r>
        <w:rPr>
          <w:rFonts w:ascii="Arial" w:hAnsi="Arial" w:cs="Arial"/>
          <w:b/>
          <w:bCs/>
        </w:rPr>
        <w:t>Our Citizens</w:t>
      </w:r>
    </w:p>
    <w:p w14:paraId="3382C8AF" w14:textId="77777777" w:rsidR="00927D00" w:rsidRDefault="00927D00" w:rsidP="00927D00">
      <w:pPr>
        <w:spacing w:after="0" w:line="240" w:lineRule="auto"/>
        <w:jc w:val="both"/>
        <w:rPr>
          <w:rFonts w:ascii="Arial" w:hAnsi="Arial" w:cs="Arial"/>
        </w:rPr>
      </w:pPr>
      <w:r>
        <w:rPr>
          <w:rFonts w:ascii="Arial" w:hAnsi="Arial" w:cs="Arial"/>
        </w:rPr>
        <w:t xml:space="preserve">We value, nurture and celebrate our people and relationships, ensuring they are inclusive, impactful, sustainable, and influence positive change in our world. Accordingly, we nurture strong partnerships with the NHS and other organisations, including the University Hospitals </w:t>
      </w:r>
      <w:r>
        <w:rPr>
          <w:rFonts w:ascii="Arial" w:hAnsi="Arial" w:cs="Arial"/>
        </w:rPr>
        <w:lastRenderedPageBreak/>
        <w:t>of Leicester NHS Trust, Leicestershire Partnership NHS Trust and University Hospitals of Northamptonshire NHS Group, West Anglia NHS Foundation Trust and LOROS (Hospice Care for Leicester, Leicestershire and Rutland), that support the delivery of our strategy. Through our NHS relationships, as well as strategic partnerships with the wider community including the Integrated Care System, the Borough, City and County Councils, and other East Midlands Universities (through the Civic University Agreement), we seek to shape policy and influence decision-making locally, regionally and nationally, to improve lives and livelihoods. We work with others to tackle the big issues of today and tomorrow with a focus on climate change, inclusion and wider social impact.</w:t>
      </w:r>
    </w:p>
    <w:p w14:paraId="3B59BF2A" w14:textId="77777777" w:rsidR="00927D00" w:rsidRDefault="00927D00" w:rsidP="00927D00">
      <w:pPr>
        <w:spacing w:line="240" w:lineRule="auto"/>
        <w:jc w:val="both"/>
        <w:rPr>
          <w:rFonts w:ascii="Arial" w:hAnsi="Arial" w:cs="Arial"/>
        </w:rPr>
      </w:pPr>
    </w:p>
    <w:p w14:paraId="7D0773B7" w14:textId="77777777" w:rsidR="00927D00" w:rsidRDefault="00927D00" w:rsidP="00927D00">
      <w:pPr>
        <w:spacing w:after="0" w:line="240" w:lineRule="auto"/>
        <w:jc w:val="both"/>
        <w:rPr>
          <w:rFonts w:ascii="Arial" w:eastAsia="Times New Roman" w:hAnsi="Arial" w:cs="Arial"/>
          <w:b/>
        </w:rPr>
      </w:pPr>
    </w:p>
    <w:p w14:paraId="21EF1BEF" w14:textId="77777777" w:rsidR="00927D00" w:rsidRDefault="00927D00" w:rsidP="00927D00">
      <w:pPr>
        <w:rPr>
          <w:rFonts w:ascii="Calibri" w:eastAsia="Calibri" w:hAnsi="Calibri" w:cs="Calibri"/>
          <w:b/>
          <w:sz w:val="28"/>
          <w:szCs w:val="28"/>
        </w:rPr>
      </w:pPr>
      <w:r>
        <w:rPr>
          <w:rFonts w:cs="Calibri"/>
          <w:b/>
          <w:sz w:val="28"/>
          <w:szCs w:val="28"/>
        </w:rPr>
        <w:t>Psychiatry at the University of Leicester</w:t>
      </w:r>
    </w:p>
    <w:p w14:paraId="6D0F5B64" w14:textId="77777777" w:rsidR="00927D00" w:rsidRDefault="00927D00" w:rsidP="00927D00">
      <w:pPr>
        <w:jc w:val="both"/>
        <w:rPr>
          <w:rFonts w:cs="Calibri"/>
          <w:sz w:val="24"/>
          <w:szCs w:val="24"/>
        </w:rPr>
      </w:pPr>
      <w:r>
        <w:rPr>
          <w:rFonts w:cs="Calibri"/>
          <w:sz w:val="24"/>
          <w:szCs w:val="24"/>
        </w:rPr>
        <w:t>The groups leading on research interests within the field of Psychiatry are as follows:</w:t>
      </w:r>
    </w:p>
    <w:p w14:paraId="0131F4AE" w14:textId="77777777" w:rsidR="00927D00" w:rsidRDefault="00927D00" w:rsidP="00927D00">
      <w:pPr>
        <w:rPr>
          <w:rFonts w:ascii="Arial" w:hAnsi="Arial" w:cs="Arial"/>
          <w:b/>
          <w:i/>
        </w:rPr>
      </w:pPr>
      <w:r>
        <w:rPr>
          <w:rFonts w:ascii="Arial" w:hAnsi="Arial" w:cs="Arial"/>
          <w:b/>
          <w:i/>
        </w:rPr>
        <w:t>Social &amp; Epidemiological Psychiatry</w:t>
      </w:r>
    </w:p>
    <w:p w14:paraId="748479AB" w14:textId="77777777" w:rsidR="00927D00" w:rsidRDefault="00927D00" w:rsidP="00927D00">
      <w:pPr>
        <w:spacing w:after="0" w:line="240" w:lineRule="auto"/>
        <w:rPr>
          <w:rFonts w:ascii="Arial" w:hAnsi="Arial" w:cs="Arial"/>
          <w:bCs/>
          <w:i/>
          <w:iCs/>
        </w:rPr>
      </w:pPr>
      <w:r>
        <w:rPr>
          <w:rFonts w:ascii="Arial" w:hAnsi="Arial" w:cs="Arial"/>
          <w:bCs/>
          <w:i/>
          <w:iCs/>
        </w:rPr>
        <w:t xml:space="preserve">Professor Traolach “Terry” Brugha </w:t>
      </w:r>
    </w:p>
    <w:p w14:paraId="193C99BF" w14:textId="77777777" w:rsidR="00927D00" w:rsidRDefault="00927D00" w:rsidP="00927D00">
      <w:pPr>
        <w:spacing w:after="0" w:line="240" w:lineRule="auto"/>
        <w:rPr>
          <w:rFonts w:ascii="Arial" w:hAnsi="Arial" w:cs="Arial"/>
          <w:bCs/>
          <w:i/>
          <w:iCs/>
        </w:rPr>
      </w:pPr>
      <w:r>
        <w:rPr>
          <w:rFonts w:ascii="Arial" w:hAnsi="Arial" w:cs="Arial"/>
          <w:bCs/>
          <w:i/>
          <w:iCs/>
        </w:rPr>
        <w:t xml:space="preserve">Dr Samuel Tromans (Associate Professor) </w:t>
      </w:r>
    </w:p>
    <w:p w14:paraId="44E306BC" w14:textId="77777777" w:rsidR="00927D00" w:rsidRDefault="00927D00" w:rsidP="00927D00">
      <w:pPr>
        <w:spacing w:after="0" w:line="240" w:lineRule="auto"/>
        <w:rPr>
          <w:rFonts w:ascii="Arial" w:hAnsi="Arial" w:cs="Arial"/>
          <w:bCs/>
          <w:i/>
          <w:iCs/>
        </w:rPr>
      </w:pPr>
      <w:r>
        <w:rPr>
          <w:rFonts w:ascii="Arial" w:hAnsi="Arial" w:cs="Arial"/>
          <w:bCs/>
          <w:i/>
          <w:iCs/>
        </w:rPr>
        <w:t xml:space="preserve">Dr Nandini Chakraborty (Hon Professor) </w:t>
      </w:r>
    </w:p>
    <w:p w14:paraId="548625AC" w14:textId="77777777" w:rsidR="00927D00" w:rsidRDefault="00927D00" w:rsidP="00927D00">
      <w:pPr>
        <w:spacing w:after="0" w:line="240" w:lineRule="auto"/>
        <w:rPr>
          <w:rFonts w:ascii="Arial" w:hAnsi="Arial" w:cs="Arial"/>
          <w:bCs/>
          <w:i/>
          <w:iCs/>
        </w:rPr>
      </w:pPr>
      <w:r>
        <w:rPr>
          <w:rFonts w:ascii="Arial" w:hAnsi="Arial" w:cs="Arial"/>
          <w:bCs/>
          <w:i/>
          <w:iCs/>
        </w:rPr>
        <w:t xml:space="preserve">Dr Asit Biswas (Hon Professor) </w:t>
      </w:r>
    </w:p>
    <w:p w14:paraId="39602D59" w14:textId="77777777" w:rsidR="00927D00" w:rsidRDefault="00927D00" w:rsidP="00927D00">
      <w:pPr>
        <w:spacing w:after="0" w:line="240" w:lineRule="auto"/>
        <w:rPr>
          <w:rFonts w:ascii="Arial" w:hAnsi="Arial" w:cs="Arial"/>
          <w:bCs/>
          <w:i/>
          <w:iCs/>
        </w:rPr>
      </w:pPr>
      <w:r>
        <w:rPr>
          <w:rFonts w:ascii="Arial" w:hAnsi="Arial" w:cs="Arial"/>
          <w:bCs/>
          <w:i/>
          <w:iCs/>
        </w:rPr>
        <w:t xml:space="preserve">Dr Mohammed Abbas (Hon Associate Professor) </w:t>
      </w:r>
    </w:p>
    <w:p w14:paraId="39B87E75" w14:textId="77777777" w:rsidR="00927D00" w:rsidRDefault="00927D00" w:rsidP="00927D00">
      <w:pPr>
        <w:spacing w:after="0" w:line="240" w:lineRule="auto"/>
        <w:rPr>
          <w:rFonts w:ascii="Arial" w:hAnsi="Arial" w:cs="Arial"/>
          <w:bCs/>
          <w:i/>
          <w:iCs/>
        </w:rPr>
      </w:pPr>
      <w:r>
        <w:rPr>
          <w:rFonts w:ascii="Arial" w:hAnsi="Arial" w:cs="Arial"/>
          <w:bCs/>
          <w:i/>
          <w:iCs/>
        </w:rPr>
        <w:t>Dr Latha Velayudhan (Hon Associate Professor)</w:t>
      </w:r>
    </w:p>
    <w:p w14:paraId="75D82126" w14:textId="77777777" w:rsidR="00927D00" w:rsidRDefault="00927D00" w:rsidP="00927D00">
      <w:pPr>
        <w:spacing w:after="0" w:line="240" w:lineRule="auto"/>
        <w:rPr>
          <w:rFonts w:ascii="Arial" w:hAnsi="Arial" w:cs="Arial"/>
          <w:bCs/>
          <w:i/>
          <w:iCs/>
        </w:rPr>
      </w:pPr>
      <w:r>
        <w:rPr>
          <w:rFonts w:ascii="Arial" w:hAnsi="Arial" w:cs="Arial"/>
          <w:bCs/>
          <w:i/>
          <w:iCs/>
        </w:rPr>
        <w:t xml:space="preserve">Dr Reza Kiani (Hon Sen Lec) </w:t>
      </w:r>
    </w:p>
    <w:p w14:paraId="7F7C960D" w14:textId="77777777" w:rsidR="00927D00" w:rsidRDefault="00927D00" w:rsidP="00927D00">
      <w:pPr>
        <w:spacing w:after="0" w:line="240" w:lineRule="auto"/>
        <w:rPr>
          <w:rFonts w:ascii="Arial" w:hAnsi="Arial" w:cs="Arial"/>
          <w:bCs/>
          <w:i/>
          <w:iCs/>
        </w:rPr>
      </w:pPr>
      <w:r>
        <w:rPr>
          <w:rFonts w:ascii="Arial" w:hAnsi="Arial" w:cs="Arial"/>
          <w:bCs/>
          <w:i/>
          <w:iCs/>
        </w:rPr>
        <w:t xml:space="preserve">Alison Drewett (Hon Fellow) </w:t>
      </w:r>
    </w:p>
    <w:p w14:paraId="69957C9D" w14:textId="77777777" w:rsidR="00927D00" w:rsidRDefault="00927D00" w:rsidP="00927D00">
      <w:pPr>
        <w:spacing w:after="0" w:line="240" w:lineRule="auto"/>
        <w:rPr>
          <w:rFonts w:ascii="Arial" w:hAnsi="Arial" w:cs="Arial"/>
          <w:bCs/>
          <w:i/>
          <w:iCs/>
        </w:rPr>
      </w:pPr>
      <w:r>
        <w:rPr>
          <w:rFonts w:ascii="Arial" w:hAnsi="Arial" w:cs="Arial"/>
          <w:bCs/>
          <w:i/>
          <w:iCs/>
        </w:rPr>
        <w:t>Andrew Leaver (Research Collaborator)</w:t>
      </w:r>
    </w:p>
    <w:p w14:paraId="26DA71AC" w14:textId="77777777" w:rsidR="00927D00" w:rsidRDefault="00927D00" w:rsidP="00927D00">
      <w:pPr>
        <w:spacing w:after="0" w:line="240" w:lineRule="auto"/>
        <w:rPr>
          <w:rFonts w:ascii="Arial" w:hAnsi="Arial" w:cs="Arial"/>
          <w:bCs/>
          <w:i/>
          <w:iCs/>
        </w:rPr>
      </w:pPr>
    </w:p>
    <w:p w14:paraId="254796C6" w14:textId="77777777" w:rsidR="00927D00" w:rsidRDefault="00927D00" w:rsidP="00927D00">
      <w:pPr>
        <w:spacing w:after="0" w:line="240" w:lineRule="auto"/>
        <w:rPr>
          <w:rFonts w:ascii="Arial" w:hAnsi="Arial" w:cs="Arial"/>
          <w:bCs/>
        </w:rPr>
      </w:pPr>
      <w:r>
        <w:rPr>
          <w:rFonts w:ascii="Arial" w:hAnsi="Arial" w:cs="Arial"/>
          <w:bCs/>
        </w:rPr>
        <w:t>Interests:</w:t>
      </w:r>
    </w:p>
    <w:p w14:paraId="466FE1C0" w14:textId="77777777" w:rsidR="00927D00" w:rsidRDefault="00927D00" w:rsidP="00927D00">
      <w:pPr>
        <w:pStyle w:val="ListParagraph"/>
        <w:numPr>
          <w:ilvl w:val="0"/>
          <w:numId w:val="36"/>
        </w:numPr>
        <w:suppressAutoHyphens/>
        <w:autoSpaceDN w:val="0"/>
        <w:rPr>
          <w:rFonts w:ascii="Arial" w:hAnsi="Arial" w:cs="Arial"/>
        </w:rPr>
      </w:pPr>
      <w:r>
        <w:rPr>
          <w:rFonts w:ascii="Arial" w:hAnsi="Arial" w:cs="Arial"/>
        </w:rPr>
        <w:t>Epidemiology and psychopathology of psychosis, eating disorders, adult autism spectrum disorder, ADHD and common mental disorders</w:t>
      </w:r>
    </w:p>
    <w:p w14:paraId="4D3468F4" w14:textId="77777777" w:rsidR="00927D00" w:rsidRDefault="00927D00" w:rsidP="00927D00">
      <w:pPr>
        <w:pStyle w:val="ListParagraph"/>
        <w:numPr>
          <w:ilvl w:val="0"/>
          <w:numId w:val="36"/>
        </w:numPr>
        <w:suppressAutoHyphens/>
        <w:autoSpaceDN w:val="0"/>
        <w:rPr>
          <w:rFonts w:ascii="Arial" w:hAnsi="Arial" w:cs="Arial"/>
        </w:rPr>
      </w:pPr>
      <w:r>
        <w:rPr>
          <w:rFonts w:ascii="Arial" w:hAnsi="Arial" w:cs="Arial"/>
        </w:rPr>
        <w:t xml:space="preserve">Aetiology and prevention of common and peri-natal mental disorders </w:t>
      </w:r>
    </w:p>
    <w:p w14:paraId="6EAB2930"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Policy information and interpretation of large survey datasets</w:t>
      </w:r>
    </w:p>
    <w:p w14:paraId="3757FA65"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Validity and reliability of measures of outcome and of determinants including WHO SCAN</w:t>
      </w:r>
    </w:p>
    <w:p w14:paraId="452DB428"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Neuropsychiatric outcome of Covid-19</w:t>
      </w:r>
    </w:p>
    <w:p w14:paraId="0565369B"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Self-harm and suicide</w:t>
      </w:r>
    </w:p>
    <w:p w14:paraId="16EC8425" w14:textId="77777777" w:rsidR="00927D00" w:rsidRDefault="00927D00" w:rsidP="00927D00">
      <w:pPr>
        <w:pStyle w:val="ListParagraph"/>
        <w:numPr>
          <w:ilvl w:val="0"/>
          <w:numId w:val="36"/>
        </w:numPr>
        <w:suppressAutoHyphens/>
        <w:autoSpaceDN w:val="0"/>
        <w:spacing w:after="0" w:line="240" w:lineRule="auto"/>
        <w:rPr>
          <w:rFonts w:ascii="Arial" w:hAnsi="Arial" w:cs="Arial"/>
        </w:rPr>
      </w:pPr>
      <w:bookmarkStart w:id="4" w:name="_Hlk129622470"/>
      <w:r>
        <w:rPr>
          <w:rFonts w:ascii="Arial" w:hAnsi="Arial" w:cs="Arial"/>
        </w:rPr>
        <w:t>Smell identification function in Alzheimer's disease (biomarkers)Language and communication in autism</w:t>
      </w:r>
    </w:p>
    <w:p w14:paraId="0A963CE3" w14:textId="77777777" w:rsidR="00927D00" w:rsidRDefault="00927D00" w:rsidP="00927D00">
      <w:pPr>
        <w:pStyle w:val="ListParagraph"/>
        <w:numPr>
          <w:ilvl w:val="0"/>
          <w:numId w:val="36"/>
        </w:numPr>
        <w:suppressAutoHyphens/>
        <w:autoSpaceDN w:val="0"/>
        <w:spacing w:after="0" w:line="240" w:lineRule="auto"/>
        <w:rPr>
          <w:rFonts w:ascii="Arial" w:hAnsi="Arial" w:cs="Arial"/>
        </w:rPr>
      </w:pPr>
      <w:r>
        <w:rPr>
          <w:rFonts w:ascii="Arial" w:hAnsi="Arial" w:cs="Arial"/>
        </w:rPr>
        <w:t>Huntingdon’s disease</w:t>
      </w:r>
    </w:p>
    <w:p w14:paraId="40AA81D8" w14:textId="77777777" w:rsidR="00927D00" w:rsidRDefault="00927D00" w:rsidP="00927D00">
      <w:pPr>
        <w:jc w:val="both"/>
        <w:rPr>
          <w:rFonts w:ascii="Arial" w:hAnsi="Arial" w:cs="Arial"/>
        </w:rPr>
      </w:pPr>
      <w:bookmarkStart w:id="5" w:name="_Hlk129622447"/>
      <w:bookmarkEnd w:id="4"/>
    </w:p>
    <w:p w14:paraId="684409D7" w14:textId="77777777" w:rsidR="00927D00" w:rsidRDefault="00927D00" w:rsidP="00927D00">
      <w:pPr>
        <w:jc w:val="both"/>
        <w:rPr>
          <w:rFonts w:ascii="Calibri" w:hAnsi="Calibri" w:cs="Times New Roman"/>
        </w:rPr>
      </w:pPr>
      <w:r>
        <w:rPr>
          <w:rFonts w:ascii="Arial" w:hAnsi="Arial" w:cs="Arial"/>
        </w:rPr>
        <w:t xml:space="preserve">The group </w:t>
      </w:r>
      <w:r>
        <w:rPr>
          <w:rFonts w:ascii="Arial" w:hAnsi="Arial" w:cs="Arial"/>
          <w:lang w:val="en-US"/>
        </w:rPr>
        <w:t xml:space="preserve">has received recent substantial contract research funding through the Department of Health and Social Care and arm’s length NHS agencies in partnership with NatCen Social research and further grant funding to participated in two NIHR clinical trials. </w:t>
      </w:r>
    </w:p>
    <w:bookmarkEnd w:id="5"/>
    <w:p w14:paraId="153A7D29" w14:textId="77777777" w:rsidR="00927D00" w:rsidRDefault="00927D00" w:rsidP="00927D00">
      <w:pPr>
        <w:jc w:val="both"/>
      </w:pPr>
      <w:r>
        <w:rPr>
          <w:rFonts w:ascii="Arial" w:hAnsi="Arial" w:cs="Arial"/>
          <w:b/>
          <w:i/>
        </w:rPr>
        <w:t xml:space="preserve">International Mental Health </w:t>
      </w:r>
    </w:p>
    <w:p w14:paraId="7FE051A0"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Vostanis (Emeritus Professor) </w:t>
      </w:r>
    </w:p>
    <w:p w14:paraId="5BA86F1E"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Dogra (Emeritus Professor) </w:t>
      </w:r>
    </w:p>
    <w:p w14:paraId="67BBC5CF" w14:textId="77777777" w:rsidR="00927D00" w:rsidRDefault="00927D00" w:rsidP="00927D00">
      <w:pPr>
        <w:spacing w:after="0" w:line="240" w:lineRule="auto"/>
        <w:jc w:val="both"/>
        <w:rPr>
          <w:rFonts w:ascii="Arial" w:hAnsi="Arial" w:cs="Arial"/>
          <w:bCs/>
          <w:i/>
          <w:iCs/>
        </w:rPr>
      </w:pPr>
      <w:r>
        <w:rPr>
          <w:rFonts w:ascii="Arial" w:hAnsi="Arial" w:cs="Arial"/>
          <w:bCs/>
          <w:i/>
          <w:iCs/>
        </w:rPr>
        <w:t>Dr K Karim (Associate Professor)</w:t>
      </w:r>
    </w:p>
    <w:p w14:paraId="29A09654" w14:textId="77777777" w:rsidR="00927D00" w:rsidRDefault="00927D00" w:rsidP="00927D00">
      <w:pPr>
        <w:spacing w:after="0" w:line="240" w:lineRule="auto"/>
        <w:jc w:val="both"/>
        <w:rPr>
          <w:rFonts w:ascii="Arial" w:hAnsi="Arial" w:cs="Arial"/>
          <w:bCs/>
          <w:i/>
          <w:iCs/>
        </w:rPr>
      </w:pPr>
      <w:r>
        <w:rPr>
          <w:rFonts w:ascii="Arial" w:hAnsi="Arial" w:cs="Arial"/>
          <w:bCs/>
          <w:i/>
          <w:iCs/>
        </w:rPr>
        <w:t>Dr Michelle O’Reilly (Associate Professor of Communication in Mental Health)</w:t>
      </w:r>
    </w:p>
    <w:p w14:paraId="10B3DF39" w14:textId="77777777" w:rsidR="00927D00" w:rsidRDefault="00927D00" w:rsidP="00927D00">
      <w:pPr>
        <w:spacing w:after="0" w:line="240" w:lineRule="auto"/>
        <w:jc w:val="both"/>
        <w:rPr>
          <w:rFonts w:ascii="Arial" w:hAnsi="Arial" w:cs="Arial"/>
          <w:bCs/>
          <w:i/>
          <w:iCs/>
        </w:rPr>
      </w:pPr>
    </w:p>
    <w:p w14:paraId="5F8744DA" w14:textId="77777777" w:rsidR="00927D00" w:rsidRDefault="00927D00" w:rsidP="00927D00">
      <w:pPr>
        <w:spacing w:after="0" w:line="240" w:lineRule="auto"/>
        <w:jc w:val="both"/>
        <w:rPr>
          <w:rFonts w:ascii="Arial" w:hAnsi="Arial" w:cs="Arial"/>
          <w:bCs/>
        </w:rPr>
      </w:pPr>
      <w:r>
        <w:rPr>
          <w:rFonts w:ascii="Arial" w:hAnsi="Arial" w:cs="Arial"/>
          <w:bCs/>
        </w:rPr>
        <w:t>Interests:</w:t>
      </w:r>
    </w:p>
    <w:p w14:paraId="63695368"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programmes in interventions for and prevention of child psychiatric disorders</w:t>
      </w:r>
    </w:p>
    <w:p w14:paraId="5AB1B26B"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development of evaluations of child mental health services</w:t>
      </w:r>
    </w:p>
    <w:p w14:paraId="6E169374"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lastRenderedPageBreak/>
        <w:t>multi-agency training in child mental health in primary care settings</w:t>
      </w:r>
    </w:p>
    <w:p w14:paraId="7323A826" w14:textId="77777777" w:rsidR="00927D00" w:rsidRDefault="00927D00" w:rsidP="00927D00">
      <w:pPr>
        <w:pStyle w:val="ListParagraph"/>
        <w:numPr>
          <w:ilvl w:val="0"/>
          <w:numId w:val="37"/>
        </w:numPr>
        <w:suppressAutoHyphens/>
        <w:autoSpaceDN w:val="0"/>
        <w:spacing w:after="0" w:line="240" w:lineRule="auto"/>
        <w:jc w:val="both"/>
        <w:rPr>
          <w:rFonts w:ascii="Arial" w:hAnsi="Arial" w:cs="Arial"/>
        </w:rPr>
      </w:pPr>
      <w:r>
        <w:rPr>
          <w:rFonts w:ascii="Arial" w:hAnsi="Arial" w:cs="Arial"/>
        </w:rPr>
        <w:t xml:space="preserve">development and evaluation of the psychiatric components of undergraduate medical education </w:t>
      </w:r>
    </w:p>
    <w:p w14:paraId="39F69FEF" w14:textId="77777777" w:rsidR="00927D00" w:rsidRDefault="00927D00" w:rsidP="00927D00">
      <w:pPr>
        <w:rPr>
          <w:rFonts w:ascii="Arial" w:hAnsi="Arial" w:cs="Arial"/>
          <w:b/>
          <w:i/>
        </w:rPr>
      </w:pPr>
    </w:p>
    <w:p w14:paraId="45625D7B" w14:textId="77777777" w:rsidR="00927D00" w:rsidRDefault="00927D00" w:rsidP="00927D00">
      <w:pPr>
        <w:rPr>
          <w:rFonts w:ascii="Arial" w:hAnsi="Arial" w:cs="Arial"/>
          <w:b/>
          <w:i/>
        </w:rPr>
      </w:pPr>
      <w:r>
        <w:rPr>
          <w:rFonts w:ascii="Arial" w:hAnsi="Arial" w:cs="Arial"/>
          <w:b/>
          <w:i/>
        </w:rPr>
        <w:t xml:space="preserve">Psychiatry for the Elderly </w:t>
      </w:r>
    </w:p>
    <w:p w14:paraId="69A9005D" w14:textId="77777777" w:rsidR="00927D00" w:rsidRDefault="00927D00" w:rsidP="00927D00">
      <w:pPr>
        <w:spacing w:after="0" w:line="240" w:lineRule="auto"/>
        <w:rPr>
          <w:rFonts w:ascii="Arial" w:hAnsi="Arial" w:cs="Arial"/>
          <w:bCs/>
          <w:i/>
        </w:rPr>
      </w:pPr>
      <w:r>
        <w:rPr>
          <w:rFonts w:ascii="Arial" w:hAnsi="Arial" w:cs="Arial"/>
          <w:bCs/>
          <w:i/>
        </w:rPr>
        <w:t xml:space="preserve">Professor Elizabeta Mukaetova-Ladinska </w:t>
      </w:r>
    </w:p>
    <w:p w14:paraId="137FD0F8" w14:textId="77777777" w:rsidR="00927D00" w:rsidRDefault="00927D00" w:rsidP="00927D00">
      <w:pPr>
        <w:spacing w:after="0" w:line="240" w:lineRule="auto"/>
        <w:rPr>
          <w:rFonts w:ascii="Arial" w:hAnsi="Arial" w:cs="Arial"/>
          <w:bCs/>
          <w:i/>
        </w:rPr>
      </w:pPr>
      <w:r>
        <w:rPr>
          <w:rFonts w:ascii="Arial" w:hAnsi="Arial" w:cs="Arial"/>
          <w:bCs/>
          <w:i/>
        </w:rPr>
        <w:t xml:space="preserve">Professor James Lindesay (Emeritus Professor) </w:t>
      </w:r>
    </w:p>
    <w:p w14:paraId="29808420" w14:textId="77777777" w:rsidR="00927D00" w:rsidRDefault="00927D00" w:rsidP="00927D00">
      <w:pPr>
        <w:spacing w:after="0" w:line="240" w:lineRule="auto"/>
        <w:rPr>
          <w:rFonts w:ascii="Arial" w:hAnsi="Arial" w:cs="Arial"/>
          <w:bCs/>
          <w:i/>
        </w:rPr>
      </w:pPr>
      <w:r>
        <w:rPr>
          <w:rFonts w:ascii="Arial" w:hAnsi="Arial" w:cs="Arial"/>
          <w:bCs/>
          <w:i/>
        </w:rPr>
        <w:t xml:space="preserve">Dr Hari Subramaniam (Honorary Senior Lecturer) </w:t>
      </w:r>
    </w:p>
    <w:p w14:paraId="425984C9" w14:textId="77777777" w:rsidR="00927D00" w:rsidRDefault="00927D00" w:rsidP="00927D00">
      <w:pPr>
        <w:spacing w:after="0" w:line="240" w:lineRule="auto"/>
        <w:rPr>
          <w:rFonts w:ascii="Arial" w:hAnsi="Arial" w:cs="Arial"/>
          <w:bCs/>
          <w:i/>
        </w:rPr>
      </w:pPr>
      <w:r>
        <w:rPr>
          <w:rFonts w:ascii="Arial" w:hAnsi="Arial" w:cs="Arial"/>
          <w:bCs/>
          <w:i/>
        </w:rPr>
        <w:t xml:space="preserve">MHSOP consultants and clinical trainees </w:t>
      </w:r>
    </w:p>
    <w:p w14:paraId="7F47DF98" w14:textId="77777777" w:rsidR="00927D00" w:rsidRDefault="00927D00" w:rsidP="00927D00">
      <w:pPr>
        <w:spacing w:after="0" w:line="240" w:lineRule="auto"/>
        <w:rPr>
          <w:rFonts w:ascii="Arial" w:hAnsi="Arial" w:cs="Arial"/>
          <w:bCs/>
          <w:i/>
        </w:rPr>
      </w:pPr>
    </w:p>
    <w:p w14:paraId="0359BC7D" w14:textId="77777777" w:rsidR="00927D00" w:rsidRDefault="00927D00" w:rsidP="00927D00">
      <w:pPr>
        <w:spacing w:after="0" w:line="240" w:lineRule="auto"/>
        <w:rPr>
          <w:rFonts w:ascii="Arial" w:hAnsi="Arial" w:cs="Arial"/>
          <w:bCs/>
          <w:iCs/>
        </w:rPr>
      </w:pPr>
      <w:r>
        <w:rPr>
          <w:rFonts w:ascii="Arial" w:hAnsi="Arial" w:cs="Arial"/>
          <w:bCs/>
          <w:iCs/>
        </w:rPr>
        <w:t>Interests:</w:t>
      </w:r>
    </w:p>
    <w:p w14:paraId="24A0BB0A"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Development and validation of culture fair cognitive tools;</w:t>
      </w:r>
    </w:p>
    <w:p w14:paraId="453427E1"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Multi-comorbidities among older people with dementia;</w:t>
      </w:r>
    </w:p>
    <w:p w14:paraId="7CEAB3E2"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Older people use of psychotropics and metabolic syndrome;</w:t>
      </w:r>
    </w:p>
    <w:p w14:paraId="5303DA70"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impairment post-COVID-19;</w:t>
      </w:r>
    </w:p>
    <w:p w14:paraId="55DFE5E9"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Cognitive profile of HIV encephalopathy.</w:t>
      </w:r>
    </w:p>
    <w:p w14:paraId="0983F2B7"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Peripheral biomarkers for dementia;</w:t>
      </w:r>
    </w:p>
    <w:p w14:paraId="26030C81"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Diagnosis and management of early onset dementias;</w:t>
      </w:r>
    </w:p>
    <w:p w14:paraId="5E038947"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Successful ageing and resilience;</w:t>
      </w:r>
    </w:p>
    <w:p w14:paraId="48B64F85" w14:textId="77777777" w:rsidR="00927D00" w:rsidRDefault="00927D00" w:rsidP="00927D00">
      <w:pPr>
        <w:pStyle w:val="ListParagraph"/>
        <w:numPr>
          <w:ilvl w:val="0"/>
          <w:numId w:val="38"/>
        </w:numPr>
        <w:suppressAutoHyphens/>
        <w:autoSpaceDN w:val="0"/>
        <w:spacing w:after="0" w:line="240" w:lineRule="auto"/>
        <w:ind w:right="-46"/>
        <w:jc w:val="both"/>
        <w:rPr>
          <w:rFonts w:ascii="Arial" w:hAnsi="Arial" w:cs="Arial"/>
        </w:rPr>
      </w:pPr>
      <w:r>
        <w:rPr>
          <w:rFonts w:ascii="Arial" w:hAnsi="Arial" w:cs="Arial"/>
        </w:rPr>
        <w:t>Art therapy for dementia;</w:t>
      </w:r>
    </w:p>
    <w:p w14:paraId="15157C48" w14:textId="77777777" w:rsidR="00927D00" w:rsidRDefault="00927D00" w:rsidP="00927D00">
      <w:pPr>
        <w:pStyle w:val="ListParagraph"/>
        <w:numPr>
          <w:ilvl w:val="0"/>
          <w:numId w:val="38"/>
        </w:numPr>
        <w:suppressAutoHyphens/>
        <w:autoSpaceDN w:val="0"/>
        <w:jc w:val="both"/>
        <w:rPr>
          <w:rFonts w:ascii="Arial" w:hAnsi="Arial" w:cs="Arial"/>
        </w:rPr>
      </w:pPr>
      <w:r>
        <w:rPr>
          <w:rFonts w:ascii="Arial" w:hAnsi="Arial" w:cs="Arial"/>
        </w:rPr>
        <w:t>Dementia Service development.</w:t>
      </w:r>
    </w:p>
    <w:p w14:paraId="744D9D43" w14:textId="77777777" w:rsidR="00927D00" w:rsidRDefault="00927D00" w:rsidP="00927D00">
      <w:pPr>
        <w:jc w:val="both"/>
        <w:rPr>
          <w:rFonts w:ascii="Arial" w:hAnsi="Arial" w:cs="Arial"/>
          <w:b/>
          <w:i/>
        </w:rPr>
      </w:pPr>
      <w:r>
        <w:rPr>
          <w:rFonts w:ascii="Arial" w:hAnsi="Arial" w:cs="Arial"/>
          <w:b/>
          <w:i/>
        </w:rPr>
        <w:t xml:space="preserve">Schizophrenia </w:t>
      </w:r>
    </w:p>
    <w:p w14:paraId="6096FBA3" w14:textId="77777777" w:rsidR="00927D00" w:rsidRDefault="00927D00" w:rsidP="00927D00">
      <w:pPr>
        <w:spacing w:after="0" w:line="240" w:lineRule="auto"/>
        <w:jc w:val="both"/>
        <w:rPr>
          <w:rFonts w:ascii="Arial" w:hAnsi="Arial" w:cs="Arial"/>
          <w:bCs/>
          <w:i/>
          <w:iCs/>
        </w:rPr>
      </w:pPr>
      <w:r>
        <w:rPr>
          <w:rFonts w:ascii="Arial" w:hAnsi="Arial" w:cs="Arial"/>
          <w:bCs/>
          <w:i/>
          <w:iCs/>
        </w:rPr>
        <w:t xml:space="preserve">Professor Mohammed Al-Uzri (Honorary Professor) </w:t>
      </w:r>
    </w:p>
    <w:p w14:paraId="1B40966D" w14:textId="77777777" w:rsidR="00927D00" w:rsidRDefault="00927D00" w:rsidP="00927D00">
      <w:pPr>
        <w:spacing w:after="0" w:line="240" w:lineRule="auto"/>
        <w:jc w:val="both"/>
        <w:rPr>
          <w:rFonts w:ascii="Arial" w:hAnsi="Arial" w:cs="Arial"/>
          <w:bCs/>
          <w:i/>
          <w:iCs/>
        </w:rPr>
      </w:pPr>
      <w:r>
        <w:rPr>
          <w:rFonts w:ascii="Arial" w:hAnsi="Arial" w:cs="Arial"/>
          <w:bCs/>
          <w:i/>
          <w:iCs/>
        </w:rPr>
        <w:t>Professor Reveley (Emeritus Professor)</w:t>
      </w:r>
    </w:p>
    <w:p w14:paraId="17D790E4" w14:textId="77777777" w:rsidR="00927D00" w:rsidRDefault="00927D00" w:rsidP="00927D00">
      <w:pPr>
        <w:spacing w:after="0" w:line="240" w:lineRule="auto"/>
        <w:jc w:val="both"/>
        <w:rPr>
          <w:rFonts w:ascii="Arial" w:hAnsi="Arial" w:cs="Arial"/>
          <w:bCs/>
          <w:i/>
          <w:iCs/>
        </w:rPr>
      </w:pPr>
    </w:p>
    <w:p w14:paraId="43DE44A2" w14:textId="77777777" w:rsidR="00927D00" w:rsidRDefault="00927D00" w:rsidP="00927D00">
      <w:pPr>
        <w:spacing w:after="0" w:line="240" w:lineRule="auto"/>
        <w:jc w:val="both"/>
        <w:rPr>
          <w:rFonts w:ascii="Arial" w:hAnsi="Arial" w:cs="Arial"/>
          <w:bCs/>
        </w:rPr>
      </w:pPr>
      <w:r>
        <w:rPr>
          <w:rFonts w:ascii="Arial" w:hAnsi="Arial" w:cs="Arial"/>
          <w:bCs/>
        </w:rPr>
        <w:t>Interests:</w:t>
      </w:r>
    </w:p>
    <w:p w14:paraId="40FBD178" w14:textId="77777777" w:rsidR="00927D00" w:rsidRDefault="00927D00" w:rsidP="00927D00">
      <w:pPr>
        <w:pStyle w:val="ListParagraph"/>
        <w:numPr>
          <w:ilvl w:val="0"/>
          <w:numId w:val="39"/>
        </w:numPr>
        <w:suppressAutoHyphens/>
        <w:autoSpaceDN w:val="0"/>
        <w:spacing w:after="0" w:line="240" w:lineRule="auto"/>
        <w:jc w:val="both"/>
        <w:rPr>
          <w:rFonts w:ascii="Arial" w:hAnsi="Arial" w:cs="Arial"/>
        </w:rPr>
      </w:pPr>
      <w:r>
        <w:rPr>
          <w:rFonts w:ascii="Arial" w:hAnsi="Arial" w:cs="Arial"/>
        </w:rPr>
        <w:t>neuropsychology, psychophysiology, and treatment of the psychoses and other neuropsychiatric disorders cognition;</w:t>
      </w:r>
    </w:p>
    <w:p w14:paraId="179FC189" w14:textId="77777777" w:rsidR="00927D00" w:rsidRDefault="00927D00" w:rsidP="00927D00">
      <w:pPr>
        <w:pStyle w:val="ListParagraph"/>
        <w:numPr>
          <w:ilvl w:val="0"/>
          <w:numId w:val="39"/>
        </w:numPr>
        <w:suppressAutoHyphens/>
        <w:autoSpaceDN w:val="0"/>
        <w:spacing w:after="0" w:line="240" w:lineRule="auto"/>
        <w:jc w:val="both"/>
        <w:rPr>
          <w:rFonts w:ascii="Arial" w:hAnsi="Arial" w:cs="Arial"/>
        </w:rPr>
      </w:pPr>
      <w:r>
        <w:rPr>
          <w:rFonts w:ascii="Arial" w:hAnsi="Arial" w:cs="Arial"/>
        </w:rPr>
        <w:t>eye movements in psychosis and neuropsychiatric disorders in collaboration with Ophthalmology and Psychology.</w:t>
      </w:r>
    </w:p>
    <w:p w14:paraId="66D06F8C" w14:textId="77777777" w:rsidR="00927D00" w:rsidRDefault="00927D00" w:rsidP="00927D00">
      <w:pPr>
        <w:jc w:val="both"/>
        <w:rPr>
          <w:rFonts w:ascii="Arial" w:hAnsi="Arial" w:cs="Arial"/>
        </w:rPr>
      </w:pPr>
    </w:p>
    <w:p w14:paraId="65543256" w14:textId="77777777" w:rsidR="00927D00" w:rsidRDefault="00927D00" w:rsidP="00927D00">
      <w:pPr>
        <w:jc w:val="both"/>
        <w:rPr>
          <w:rFonts w:ascii="Arial" w:hAnsi="Arial" w:cs="Arial"/>
        </w:rPr>
      </w:pPr>
      <w:r>
        <w:rPr>
          <w:rFonts w:ascii="Arial" w:hAnsi="Arial" w:cs="Arial"/>
        </w:rPr>
        <w:t xml:space="preserve">Most of the teaching and research accommodation is based at the George Davies Building on the main campus.  Academic staff are also based at the Glenfield Hospital Site.  </w:t>
      </w:r>
    </w:p>
    <w:p w14:paraId="6A1BFD55" w14:textId="77777777" w:rsidR="00927D00" w:rsidRDefault="00927D00" w:rsidP="00927D00">
      <w:pPr>
        <w:spacing w:after="0" w:line="240" w:lineRule="auto"/>
        <w:jc w:val="both"/>
        <w:rPr>
          <w:rFonts w:ascii="Arial" w:eastAsia="Times New Roman" w:hAnsi="Arial" w:cs="Arial"/>
        </w:rPr>
      </w:pPr>
      <w:r>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4ED29BE4" w14:textId="77777777" w:rsidR="00927D00" w:rsidRDefault="00927D00" w:rsidP="00927D00">
      <w:pPr>
        <w:spacing w:after="0" w:line="240" w:lineRule="auto"/>
        <w:ind w:left="720"/>
        <w:jc w:val="both"/>
        <w:rPr>
          <w:rFonts w:ascii="Arial" w:eastAsia="Times New Roman" w:hAnsi="Arial" w:cs="Arial"/>
        </w:rPr>
      </w:pPr>
    </w:p>
    <w:p w14:paraId="00B356E5" w14:textId="77777777" w:rsidR="00927D00" w:rsidRDefault="00927D00" w:rsidP="00927D00">
      <w:pPr>
        <w:spacing w:after="0" w:line="240" w:lineRule="auto"/>
        <w:jc w:val="both"/>
        <w:rPr>
          <w:rFonts w:ascii="Calibri" w:eastAsia="Calibri" w:hAnsi="Calibri" w:cs="Times New Roman"/>
        </w:rPr>
      </w:pPr>
      <w:r>
        <w:rPr>
          <w:rFonts w:ascii="Arial" w:hAnsi="Arial" w:cs="Arial"/>
        </w:rPr>
        <w:t>In addition, the School of Psychology &amp; Vision Sciences</w:t>
      </w:r>
      <w:r>
        <w:rPr>
          <w:rFonts w:ascii="Arial" w:hAnsi="Arial" w:cs="Arial"/>
          <w:b/>
        </w:rPr>
        <w:t xml:space="preserve"> </w:t>
      </w:r>
      <w:r>
        <w:rPr>
          <w:rStyle w:val="Hyperlink"/>
          <w:rFonts w:ascii="Arial" w:hAnsi="Arial" w:cs="Arial"/>
          <w:lang w:val="en-US"/>
        </w:rPr>
        <w:t>https://le.ac.uk/npb</w:t>
      </w:r>
      <w:r>
        <w:rPr>
          <w:rFonts w:ascii="Arial" w:hAnsi="Arial" w:cs="Arial"/>
          <w:b/>
          <w:lang w:val="en-US"/>
        </w:rPr>
        <w:t xml:space="preserve"> </w:t>
      </w:r>
      <w:r>
        <w:rPr>
          <w:rFonts w:ascii="Arial" w:hAnsi="Arial" w:cs="Arial"/>
          <w:lang w:val="en-US"/>
        </w:rPr>
        <w:t xml:space="preserve">comprises two interdisciplinary research groups in the areas of human health and well-being (including ageing) and vision science. </w:t>
      </w:r>
    </w:p>
    <w:p w14:paraId="7B19333B" w14:textId="77777777" w:rsidR="00927D00" w:rsidRDefault="00927D00" w:rsidP="00927D00">
      <w:pPr>
        <w:spacing w:after="0" w:line="240" w:lineRule="auto"/>
        <w:jc w:val="both"/>
        <w:rPr>
          <w:rFonts w:ascii="Arial" w:hAnsi="Arial" w:cs="Arial"/>
        </w:rPr>
      </w:pPr>
    </w:p>
    <w:p w14:paraId="10CF4670" w14:textId="77777777" w:rsidR="00927D00" w:rsidRDefault="00927D00" w:rsidP="00927D00">
      <w:pPr>
        <w:spacing w:after="0" w:line="240" w:lineRule="auto"/>
        <w:jc w:val="both"/>
        <w:rPr>
          <w:rFonts w:ascii="Arial" w:hAnsi="Arial" w:cs="Arial"/>
          <w:lang w:val="en-US"/>
        </w:rPr>
      </w:pPr>
      <w:r>
        <w:rPr>
          <w:rFonts w:ascii="Arial" w:hAnsi="Arial" w:cs="Arial"/>
          <w:lang w:val="en-US"/>
        </w:rPr>
        <w:t>Research undertaken aims to align with research priorities in human health and can interface with biomedical research departments within the University’s College of Life Sciences and frontline clinicians in the NHS. There are key interactions with clinical departments and health services, including ENT, Ophthalmology, Neurology, Geriatrics and Psychiatry, a broad interest in human ageing, and collaborations within and beyond Leicester concerning human vision and physical and mental health.</w:t>
      </w:r>
    </w:p>
    <w:p w14:paraId="7ACDFA32" w14:textId="77777777" w:rsidR="00927D00" w:rsidRDefault="00927D00" w:rsidP="00927D00">
      <w:pPr>
        <w:spacing w:after="0" w:line="240" w:lineRule="auto"/>
        <w:jc w:val="both"/>
        <w:rPr>
          <w:rFonts w:ascii="Arial" w:hAnsi="Arial" w:cs="Arial"/>
          <w:lang w:val="en-US"/>
        </w:rPr>
      </w:pPr>
      <w:r>
        <w:rPr>
          <w:rFonts w:ascii="Arial" w:hAnsi="Arial" w:cs="Arial"/>
          <w:lang w:val="en-US"/>
        </w:rPr>
        <w:lastRenderedPageBreak/>
        <w:t>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harmonising data from 12 birth cohorts to identify health and economic inequalities, 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4B044341" w14:textId="77777777" w:rsidR="00927D00" w:rsidRDefault="00927D00" w:rsidP="00927D00">
      <w:pPr>
        <w:spacing w:after="0" w:line="240" w:lineRule="auto"/>
        <w:jc w:val="both"/>
        <w:rPr>
          <w:rFonts w:ascii="Arial" w:hAnsi="Arial" w:cs="Arial"/>
          <w:lang w:val="en-US"/>
        </w:rPr>
      </w:pPr>
    </w:p>
    <w:p w14:paraId="7D94EE73" w14:textId="77777777" w:rsidR="00927D00" w:rsidRDefault="00927D00" w:rsidP="00927D00">
      <w:pPr>
        <w:spacing w:after="0" w:line="240" w:lineRule="auto"/>
        <w:jc w:val="both"/>
        <w:rPr>
          <w:rFonts w:ascii="Calibri" w:hAnsi="Calibri" w:cs="Times New Roman"/>
        </w:rPr>
      </w:pPr>
      <w:r>
        <w:rPr>
          <w:rFonts w:ascii="Arial" w:hAnsi="Arial" w:cs="Arial"/>
          <w:lang w:val="en-US"/>
        </w:rPr>
        <w:t>The University has received recent substantial research funding through NIHR, UK Research Councils (BBSRC, ESRC, MRC) and charities (e.g., Leverhulme Trust, Fight for Sight), as well as funding through Innovate UK to support knowledge exchange and training.</w:t>
      </w:r>
    </w:p>
    <w:p w14:paraId="558CA9D0" w14:textId="77777777" w:rsidR="00927D00" w:rsidRDefault="00927D00" w:rsidP="00927D00">
      <w:pPr>
        <w:rPr>
          <w:rFonts w:ascii="Arial" w:hAnsi="Arial" w:cs="Arial"/>
          <w:b/>
        </w:rPr>
      </w:pPr>
    </w:p>
    <w:p w14:paraId="105B6A1B" w14:textId="77777777" w:rsidR="00927D00" w:rsidRDefault="00927D00" w:rsidP="00927D00">
      <w:pPr>
        <w:rPr>
          <w:rFonts w:ascii="Arial" w:hAnsi="Arial" w:cs="Arial"/>
          <w:b/>
        </w:rPr>
      </w:pPr>
      <w:r>
        <w:rPr>
          <w:rFonts w:ascii="Arial" w:hAnsi="Arial" w:cs="Arial"/>
          <w:b/>
        </w:rPr>
        <w:t xml:space="preserve">The Stoneygate Centre for Excellence in Empathic Healthcare </w:t>
      </w:r>
    </w:p>
    <w:p w14:paraId="1E02439C" w14:textId="77777777" w:rsidR="00927D00" w:rsidRDefault="00927D00" w:rsidP="00927D00">
      <w:pPr>
        <w:pStyle w:val="Default"/>
        <w:jc w:val="both"/>
        <w:rPr>
          <w:rFonts w:ascii="Arial" w:hAnsi="Arial" w:cs="Arial"/>
          <w:b/>
          <w:bCs/>
          <w:i/>
          <w:iCs/>
          <w:sz w:val="22"/>
          <w:szCs w:val="22"/>
        </w:rPr>
      </w:pPr>
      <w:r>
        <w:rPr>
          <w:rFonts w:ascii="Arial" w:hAnsi="Arial" w:cs="Arial"/>
          <w:b/>
          <w:bCs/>
          <w:i/>
          <w:iCs/>
          <w:sz w:val="22"/>
          <w:szCs w:val="22"/>
        </w:rPr>
        <w:t xml:space="preserve">Training Development Lead: </w:t>
      </w:r>
    </w:p>
    <w:p w14:paraId="57E87B2E" w14:textId="77777777" w:rsidR="00927D00" w:rsidRDefault="00927D00" w:rsidP="00927D00">
      <w:pPr>
        <w:pStyle w:val="Default"/>
        <w:jc w:val="both"/>
        <w:rPr>
          <w:rFonts w:ascii="Arial" w:hAnsi="Arial" w:cs="Arial"/>
          <w:i/>
          <w:iCs/>
          <w:sz w:val="22"/>
          <w:szCs w:val="22"/>
        </w:rPr>
      </w:pPr>
      <w:r>
        <w:rPr>
          <w:rFonts w:ascii="Arial" w:hAnsi="Arial" w:cs="Arial"/>
          <w:i/>
          <w:iCs/>
          <w:sz w:val="22"/>
          <w:szCs w:val="22"/>
        </w:rPr>
        <w:t>Dr Rachel Winter (Associate Professor and Honorary Consultant in Old Age Psychiatry)</w:t>
      </w:r>
    </w:p>
    <w:p w14:paraId="0CCA86CE" w14:textId="77777777" w:rsidR="00927D00" w:rsidRDefault="00927D00" w:rsidP="00927D00">
      <w:pPr>
        <w:pStyle w:val="Default"/>
        <w:jc w:val="both"/>
        <w:rPr>
          <w:rFonts w:ascii="Arial" w:hAnsi="Arial" w:cs="Arial"/>
          <w:sz w:val="22"/>
          <w:szCs w:val="22"/>
        </w:rPr>
      </w:pPr>
    </w:p>
    <w:tbl>
      <w:tblPr>
        <w:tblW w:w="9750" w:type="dxa"/>
        <w:tblInd w:w="-108" w:type="dxa"/>
        <w:tblLayout w:type="fixed"/>
        <w:tblCellMar>
          <w:left w:w="10" w:type="dxa"/>
          <w:right w:w="10" w:type="dxa"/>
        </w:tblCellMar>
        <w:tblLook w:val="04A0" w:firstRow="1" w:lastRow="0" w:firstColumn="1" w:lastColumn="0" w:noHBand="0" w:noVBand="1"/>
      </w:tblPr>
      <w:tblGrid>
        <w:gridCol w:w="9750"/>
      </w:tblGrid>
      <w:tr w:rsidR="00927D00" w14:paraId="794E954C" w14:textId="77777777" w:rsidTr="00927D00">
        <w:trPr>
          <w:trHeight w:val="3184"/>
        </w:trPr>
        <w:tc>
          <w:tcPr>
            <w:tcW w:w="97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50A24050"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Stoneygate Trust and University of Leicester have combined to create a pioneering new Stoneygate Centre for Excellence in Empathic Healthcare. </w:t>
            </w:r>
          </w:p>
          <w:p w14:paraId="7B8A0EBB" w14:textId="77777777" w:rsidR="00927D00" w:rsidRDefault="00927D00">
            <w:pPr>
              <w:pStyle w:val="Default"/>
              <w:spacing w:line="252" w:lineRule="auto"/>
              <w:jc w:val="both"/>
              <w:rPr>
                <w:rFonts w:ascii="Arial" w:hAnsi="Arial" w:cs="Arial"/>
                <w:kern w:val="3"/>
                <w:sz w:val="22"/>
                <w:szCs w:val="22"/>
              </w:rPr>
            </w:pPr>
          </w:p>
          <w:p w14:paraId="7A641BAF"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This unique £10m Centre, co-funded by the University and a philanthropic gift from The Stoneygate Trust, will ensure that medical students and healthcare professionals across the UK are taught about the vital importance of empathy as an integral part of all aspects of their medical training. As part of its work, the new Centre will develop and deliver empathy-focused training for undergraduate and postgraduate healthcare students and professionals in Leicester, with the aim of making this available nationally </w:t>
            </w:r>
          </w:p>
          <w:p w14:paraId="6D86FD3C" w14:textId="77777777" w:rsidR="00927D00" w:rsidRDefault="00927D00">
            <w:pPr>
              <w:pStyle w:val="Default"/>
              <w:spacing w:line="252" w:lineRule="auto"/>
              <w:jc w:val="both"/>
              <w:rPr>
                <w:rFonts w:ascii="Arial" w:hAnsi="Arial" w:cs="Arial"/>
                <w:kern w:val="3"/>
                <w:sz w:val="22"/>
                <w:szCs w:val="22"/>
              </w:rPr>
            </w:pPr>
          </w:p>
          <w:p w14:paraId="6EADDFF4"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focus on empathy at all stages in medical training including for example, developing and refining recruitment selection criteria to proactively assess students’ aptitude for empathy when they apply for healthcare degree programmes. It will also further develop complementary outreach programmes to continue to widen access for underrepresented groups to all areas of health and social care education. </w:t>
            </w:r>
          </w:p>
          <w:p w14:paraId="1F7588E8" w14:textId="77777777" w:rsidR="00927D00" w:rsidRDefault="00927D00">
            <w:pPr>
              <w:pStyle w:val="Default"/>
              <w:spacing w:line="252" w:lineRule="auto"/>
              <w:jc w:val="both"/>
              <w:rPr>
                <w:rFonts w:ascii="Arial" w:hAnsi="Arial" w:cs="Arial"/>
                <w:kern w:val="3"/>
                <w:sz w:val="22"/>
                <w:szCs w:val="22"/>
              </w:rPr>
            </w:pPr>
          </w:p>
          <w:p w14:paraId="7B11EA18" w14:textId="77777777" w:rsidR="00927D00" w:rsidRDefault="00927D00">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undertake pioneering research into the impact of empathic care on both patients and practitioners, and campaign for empathy to be placed at the heart of the healthcare system. </w:t>
            </w:r>
          </w:p>
        </w:tc>
      </w:tr>
    </w:tbl>
    <w:p w14:paraId="56C28B1B" w14:textId="77777777" w:rsidR="00927D00" w:rsidRDefault="00927D00" w:rsidP="00927D00">
      <w:pPr>
        <w:spacing w:line="240" w:lineRule="auto"/>
        <w:jc w:val="both"/>
        <w:rPr>
          <w:rFonts w:ascii="Arial" w:hAnsi="Arial" w:cs="Arial"/>
        </w:rPr>
      </w:pPr>
    </w:p>
    <w:p w14:paraId="005F6673" w14:textId="77777777" w:rsidR="00927D00" w:rsidRDefault="00927D00" w:rsidP="00927D00">
      <w:pPr>
        <w:spacing w:line="240" w:lineRule="auto"/>
        <w:jc w:val="both"/>
        <w:rPr>
          <w:rFonts w:ascii="Arial" w:hAnsi="Arial" w:cs="Arial"/>
          <w:b/>
          <w:bCs/>
        </w:rPr>
      </w:pPr>
      <w:r>
        <w:rPr>
          <w:rFonts w:ascii="Arial" w:hAnsi="Arial" w:cs="Arial"/>
          <w:b/>
          <w:bCs/>
        </w:rPr>
        <w:t>Teaching</w:t>
      </w:r>
    </w:p>
    <w:p w14:paraId="66EA02DF" w14:textId="77777777" w:rsidR="00927D00" w:rsidRDefault="00927D00" w:rsidP="00927D00">
      <w:pPr>
        <w:spacing w:line="240" w:lineRule="auto"/>
        <w:jc w:val="both"/>
        <w:rPr>
          <w:rFonts w:ascii="Arial" w:hAnsi="Arial" w:cs="Arial"/>
        </w:rPr>
      </w:pPr>
      <w:r>
        <w:rPr>
          <w:rFonts w:ascii="Arial" w:hAnsi="Arial" w:cs="Arial"/>
        </w:rPr>
        <w:t>The principal psychiatry 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3A7D0E96" w14:textId="77777777" w:rsidR="00927D00" w:rsidRDefault="00927D00" w:rsidP="00927D00">
      <w:pPr>
        <w:spacing w:line="240" w:lineRule="auto"/>
        <w:jc w:val="both"/>
        <w:rPr>
          <w:rFonts w:ascii="Arial" w:hAnsi="Arial" w:cs="Arial"/>
        </w:rPr>
      </w:pPr>
      <w:r>
        <w:rPr>
          <w:rFonts w:ascii="Arial" w:hAnsi="Arial" w:cs="Arial"/>
        </w:rPr>
        <w:t>There are also contributions to teaching at MSc, MD and PhD levels.</w:t>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sectPr w:rsidR="00AF68B3" w:rsidSect="00AF68B3">
      <w:headerReference w:type="default" r:id="rId28"/>
      <w:footerReference w:type="default" r:id="rId29"/>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3F8B" w14:textId="77777777" w:rsidR="00E41F01" w:rsidRDefault="00E41F01" w:rsidP="00BD05EC">
      <w:pPr>
        <w:spacing w:after="0" w:line="240" w:lineRule="auto"/>
      </w:pPr>
      <w:r>
        <w:separator/>
      </w:r>
    </w:p>
  </w:endnote>
  <w:endnote w:type="continuationSeparator" w:id="0">
    <w:p w14:paraId="1F49E166" w14:textId="77777777" w:rsidR="00E41F01" w:rsidRDefault="00E41F01"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2780" w14:textId="77777777" w:rsidR="00E41F01" w:rsidRDefault="00E41F01" w:rsidP="00BD05EC">
      <w:pPr>
        <w:spacing w:after="0" w:line="240" w:lineRule="auto"/>
      </w:pPr>
      <w:r>
        <w:separator/>
      </w:r>
    </w:p>
  </w:footnote>
  <w:footnote w:type="continuationSeparator" w:id="0">
    <w:p w14:paraId="5A28D856" w14:textId="77777777" w:rsidR="00E41F01" w:rsidRDefault="00E41F01"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25962"/>
    <w:multiLevelType w:val="hybridMultilevel"/>
    <w:tmpl w:val="B9E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8205800">
    <w:abstractNumId w:val="5"/>
  </w:num>
  <w:num w:numId="2" w16cid:durableId="2028633428">
    <w:abstractNumId w:val="14"/>
  </w:num>
  <w:num w:numId="3" w16cid:durableId="1972245317">
    <w:abstractNumId w:val="8"/>
  </w:num>
  <w:num w:numId="4" w16cid:durableId="498236626">
    <w:abstractNumId w:val="19"/>
  </w:num>
  <w:num w:numId="5" w16cid:durableId="1712684054">
    <w:abstractNumId w:val="6"/>
  </w:num>
  <w:num w:numId="6" w16cid:durableId="1596284794">
    <w:abstractNumId w:val="17"/>
  </w:num>
  <w:num w:numId="7" w16cid:durableId="527136331">
    <w:abstractNumId w:val="3"/>
  </w:num>
  <w:num w:numId="8" w16cid:durableId="1597446958">
    <w:abstractNumId w:val="28"/>
  </w:num>
  <w:num w:numId="9" w16cid:durableId="1898779433">
    <w:abstractNumId w:val="31"/>
  </w:num>
  <w:num w:numId="10" w16cid:durableId="1791242445">
    <w:abstractNumId w:val="24"/>
  </w:num>
  <w:num w:numId="11" w16cid:durableId="1559823016">
    <w:abstractNumId w:val="10"/>
  </w:num>
  <w:num w:numId="12" w16cid:durableId="1977176729">
    <w:abstractNumId w:val="30"/>
  </w:num>
  <w:num w:numId="13" w16cid:durableId="946931252">
    <w:abstractNumId w:val="29"/>
  </w:num>
  <w:num w:numId="14" w16cid:durableId="518202652">
    <w:abstractNumId w:val="16"/>
  </w:num>
  <w:num w:numId="15" w16cid:durableId="1440755509">
    <w:abstractNumId w:val="12"/>
  </w:num>
  <w:num w:numId="16" w16cid:durableId="1646816006">
    <w:abstractNumId w:val="15"/>
  </w:num>
  <w:num w:numId="17" w16cid:durableId="1163275731">
    <w:abstractNumId w:val="25"/>
  </w:num>
  <w:num w:numId="18" w16cid:durableId="694962202">
    <w:abstractNumId w:val="25"/>
  </w:num>
  <w:num w:numId="19" w16cid:durableId="1645879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199179">
    <w:abstractNumId w:val="16"/>
  </w:num>
  <w:num w:numId="21" w16cid:durableId="2099474865">
    <w:abstractNumId w:val="30"/>
  </w:num>
  <w:num w:numId="22" w16cid:durableId="404568831">
    <w:abstractNumId w:val="31"/>
  </w:num>
  <w:num w:numId="23" w16cid:durableId="1427116562">
    <w:abstractNumId w:val="24"/>
  </w:num>
  <w:num w:numId="24" w16cid:durableId="163015488">
    <w:abstractNumId w:val="29"/>
  </w:num>
  <w:num w:numId="25" w16cid:durableId="1234463395">
    <w:abstractNumId w:val="22"/>
  </w:num>
  <w:num w:numId="26" w16cid:durableId="350180763">
    <w:abstractNumId w:val="9"/>
  </w:num>
  <w:num w:numId="27" w16cid:durableId="223033970">
    <w:abstractNumId w:val="1"/>
  </w:num>
  <w:num w:numId="28" w16cid:durableId="1737432252">
    <w:abstractNumId w:val="13"/>
  </w:num>
  <w:num w:numId="29" w16cid:durableId="1674070635">
    <w:abstractNumId w:val="4"/>
  </w:num>
  <w:num w:numId="30" w16cid:durableId="2098092786">
    <w:abstractNumId w:val="21"/>
  </w:num>
  <w:num w:numId="31" w16cid:durableId="1156721694">
    <w:abstractNumId w:val="11"/>
  </w:num>
  <w:num w:numId="32" w16cid:durableId="257563702">
    <w:abstractNumId w:val="0"/>
  </w:num>
  <w:num w:numId="33" w16cid:durableId="1170028644">
    <w:abstractNumId w:val="23"/>
  </w:num>
  <w:num w:numId="34" w16cid:durableId="5809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370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0392088">
    <w:abstractNumId w:val="27"/>
  </w:num>
  <w:num w:numId="37" w16cid:durableId="1861506532">
    <w:abstractNumId w:val="2"/>
  </w:num>
  <w:num w:numId="38" w16cid:durableId="1599484257">
    <w:abstractNumId w:val="32"/>
  </w:num>
  <w:num w:numId="39" w16cid:durableId="1179082200">
    <w:abstractNumId w:val="20"/>
  </w:num>
  <w:num w:numId="40" w16cid:durableId="851841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63E"/>
    <w:rsid w:val="00002366"/>
    <w:rsid w:val="00002E1E"/>
    <w:rsid w:val="00014D2E"/>
    <w:rsid w:val="000328D1"/>
    <w:rsid w:val="0009501D"/>
    <w:rsid w:val="00096468"/>
    <w:rsid w:val="000A563E"/>
    <w:rsid w:val="000B171B"/>
    <w:rsid w:val="000C115D"/>
    <w:rsid w:val="000E1E72"/>
    <w:rsid w:val="000E40FB"/>
    <w:rsid w:val="000E7CFD"/>
    <w:rsid w:val="00117AA2"/>
    <w:rsid w:val="0012008E"/>
    <w:rsid w:val="0014554D"/>
    <w:rsid w:val="00176A21"/>
    <w:rsid w:val="0018049A"/>
    <w:rsid w:val="00187673"/>
    <w:rsid w:val="001A1669"/>
    <w:rsid w:val="001A3A50"/>
    <w:rsid w:val="001B6AE5"/>
    <w:rsid w:val="001C4A3C"/>
    <w:rsid w:val="001D78F1"/>
    <w:rsid w:val="002129DD"/>
    <w:rsid w:val="00212B25"/>
    <w:rsid w:val="00220F62"/>
    <w:rsid w:val="00271210"/>
    <w:rsid w:val="0028289A"/>
    <w:rsid w:val="00295E77"/>
    <w:rsid w:val="002C558B"/>
    <w:rsid w:val="002D056E"/>
    <w:rsid w:val="002E1C7C"/>
    <w:rsid w:val="002E266D"/>
    <w:rsid w:val="003265B8"/>
    <w:rsid w:val="00326BAB"/>
    <w:rsid w:val="003522B5"/>
    <w:rsid w:val="00363560"/>
    <w:rsid w:val="003650A7"/>
    <w:rsid w:val="00374C5F"/>
    <w:rsid w:val="00392F0A"/>
    <w:rsid w:val="003B554F"/>
    <w:rsid w:val="003C7528"/>
    <w:rsid w:val="004331B3"/>
    <w:rsid w:val="00440A84"/>
    <w:rsid w:val="00444EBF"/>
    <w:rsid w:val="0047794D"/>
    <w:rsid w:val="004945BD"/>
    <w:rsid w:val="004C725C"/>
    <w:rsid w:val="004F2281"/>
    <w:rsid w:val="00500EE3"/>
    <w:rsid w:val="005020DB"/>
    <w:rsid w:val="005457FE"/>
    <w:rsid w:val="00562AF3"/>
    <w:rsid w:val="00593134"/>
    <w:rsid w:val="005A6826"/>
    <w:rsid w:val="005B378A"/>
    <w:rsid w:val="005E3F8D"/>
    <w:rsid w:val="005E63E6"/>
    <w:rsid w:val="005F7347"/>
    <w:rsid w:val="006332C6"/>
    <w:rsid w:val="00655999"/>
    <w:rsid w:val="00656023"/>
    <w:rsid w:val="006A3941"/>
    <w:rsid w:val="006B1A29"/>
    <w:rsid w:val="006D2C41"/>
    <w:rsid w:val="006E4AE5"/>
    <w:rsid w:val="00721892"/>
    <w:rsid w:val="00732570"/>
    <w:rsid w:val="00761BBE"/>
    <w:rsid w:val="007825C8"/>
    <w:rsid w:val="007D28AF"/>
    <w:rsid w:val="008318D1"/>
    <w:rsid w:val="008835AA"/>
    <w:rsid w:val="008864E2"/>
    <w:rsid w:val="008A62B8"/>
    <w:rsid w:val="008B2523"/>
    <w:rsid w:val="008B31CE"/>
    <w:rsid w:val="008E0903"/>
    <w:rsid w:val="008E1D15"/>
    <w:rsid w:val="008E3E04"/>
    <w:rsid w:val="008F24B9"/>
    <w:rsid w:val="008F6AAA"/>
    <w:rsid w:val="0092726F"/>
    <w:rsid w:val="00927D00"/>
    <w:rsid w:val="0094213E"/>
    <w:rsid w:val="009753C4"/>
    <w:rsid w:val="00976E04"/>
    <w:rsid w:val="0099640E"/>
    <w:rsid w:val="009A68BF"/>
    <w:rsid w:val="009A7A4B"/>
    <w:rsid w:val="00A169C1"/>
    <w:rsid w:val="00A23E7A"/>
    <w:rsid w:val="00A26547"/>
    <w:rsid w:val="00A730DF"/>
    <w:rsid w:val="00AB48A7"/>
    <w:rsid w:val="00AF68B3"/>
    <w:rsid w:val="00B50752"/>
    <w:rsid w:val="00B57911"/>
    <w:rsid w:val="00B76DF3"/>
    <w:rsid w:val="00B87319"/>
    <w:rsid w:val="00BA1602"/>
    <w:rsid w:val="00BA63A8"/>
    <w:rsid w:val="00BD05EC"/>
    <w:rsid w:val="00BD76EE"/>
    <w:rsid w:val="00C37A4D"/>
    <w:rsid w:val="00C4756B"/>
    <w:rsid w:val="00C4793C"/>
    <w:rsid w:val="00C67A08"/>
    <w:rsid w:val="00C76347"/>
    <w:rsid w:val="00CD0B7F"/>
    <w:rsid w:val="00CD246C"/>
    <w:rsid w:val="00CE519F"/>
    <w:rsid w:val="00D36CC6"/>
    <w:rsid w:val="00D378CD"/>
    <w:rsid w:val="00D42A11"/>
    <w:rsid w:val="00D46C4E"/>
    <w:rsid w:val="00D85BA1"/>
    <w:rsid w:val="00D860E9"/>
    <w:rsid w:val="00DA0838"/>
    <w:rsid w:val="00DE53ED"/>
    <w:rsid w:val="00E15637"/>
    <w:rsid w:val="00E16462"/>
    <w:rsid w:val="00E41F01"/>
    <w:rsid w:val="00E47E21"/>
    <w:rsid w:val="00E57E7B"/>
    <w:rsid w:val="00E7797F"/>
    <w:rsid w:val="00EC0D89"/>
    <w:rsid w:val="00EC1E58"/>
    <w:rsid w:val="00ED0FDF"/>
    <w:rsid w:val="00EF0D1E"/>
    <w:rsid w:val="00F41F73"/>
    <w:rsid w:val="00F5259F"/>
    <w:rsid w:val="00F9363C"/>
    <w:rsid w:val="00FA3A9C"/>
    <w:rsid w:val="00FE1B78"/>
    <w:rsid w:val="00FF01D4"/>
    <w:rsid w:val="00FF33D7"/>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nhideWhenUsed/>
    <w:rsid w:val="006B1A29"/>
    <w:pPr>
      <w:spacing w:line="240" w:lineRule="auto"/>
    </w:pPr>
    <w:rPr>
      <w:sz w:val="20"/>
      <w:szCs w:val="20"/>
    </w:rPr>
  </w:style>
  <w:style w:type="character" w:customStyle="1" w:styleId="CommentTextChar">
    <w:name w:val="Comment Text Char"/>
    <w:basedOn w:val="DefaultParagraphFont"/>
    <w:link w:val="CommentText"/>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76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71188">
      <w:bodyDiv w:val="1"/>
      <w:marLeft w:val="0"/>
      <w:marRight w:val="0"/>
      <w:marTop w:val="0"/>
      <w:marBottom w:val="0"/>
      <w:divBdr>
        <w:top w:val="none" w:sz="0" w:space="0" w:color="auto"/>
        <w:left w:val="none" w:sz="0" w:space="0" w:color="auto"/>
        <w:bottom w:val="none" w:sz="0" w:space="0" w:color="auto"/>
        <w:right w:val="none" w:sz="0" w:space="0" w:color="auto"/>
      </w:divBdr>
    </w:div>
    <w:div w:id="269316300">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664549988">
      <w:bodyDiv w:val="1"/>
      <w:marLeft w:val="0"/>
      <w:marRight w:val="0"/>
      <w:marTop w:val="0"/>
      <w:marBottom w:val="0"/>
      <w:divBdr>
        <w:top w:val="none" w:sz="0" w:space="0" w:color="auto"/>
        <w:left w:val="none" w:sz="0" w:space="0" w:color="auto"/>
        <w:bottom w:val="none" w:sz="0" w:space="0" w:color="auto"/>
        <w:right w:val="none" w:sz="0" w:space="0" w:color="auto"/>
      </w:divBdr>
    </w:div>
    <w:div w:id="1917201353">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image" Target="media/image7.png" /><Relationship Id="rId26" Type="http://schemas.openxmlformats.org/officeDocument/2006/relationships/hyperlink" Target="#" TargetMode="External" /><Relationship Id="rId21" Type="http://schemas.openxmlformats.org/officeDocument/2006/relationships/image" Target="media/image10.png"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hyperlink" Target="#" TargetMode="External" /><Relationship Id="rId25" Type="http://schemas.openxmlformats.org/officeDocument/2006/relationships/hyperlink" Target="#" TargetMode="External" /><Relationship Id="rId16" Type="http://schemas.openxmlformats.org/officeDocument/2006/relationships/image" Target="media/image6.png" /><Relationship Id="rId20" Type="http://schemas.openxmlformats.org/officeDocument/2006/relationships/image" Target="media/image9.png" /><Relationship Id="rId29"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image" Target="media/image13.png" /><Relationship Id="rId5" Type="http://schemas.openxmlformats.org/officeDocument/2006/relationships/numbering" Target="numbering.xml" /><Relationship Id="rId15" Type="http://schemas.openxmlformats.org/officeDocument/2006/relationships/image" Target="media/image5.png" /><Relationship Id="rId23" Type="http://schemas.openxmlformats.org/officeDocument/2006/relationships/image" Target="media/image12.png" /><Relationship Id="rId28"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image" Target="media/image8.png" /><Relationship Id="rId31"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image" Target="media/image4.jpeg" /><Relationship Id="rId22" Type="http://schemas.openxmlformats.org/officeDocument/2006/relationships/image" Target="media/image11.png" /><Relationship Id="rId27" Type="http://schemas.openxmlformats.org/officeDocument/2006/relationships/hyperlink" Target="#" TargetMode="External" /><Relationship Id="rId30"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8893</Words>
  <Characters>50691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Job Description TRENT-CO-NTH-2024-01871</vt:lpstr>
    </vt:vector>
  </TitlesOfParts>
  <Company>NHS</Company>
  <LinksUpToDate>false</LinksUpToDate>
  <CharactersWithSpaces>59466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TRENT-CO-NTH-2024-01871</dc:title>
  <dc:creator>Salmen Angela</dc:creator>
  <cp:lastModifiedBy>JACKSON, Ashley (LEICESTERSHIRE PARTNERSHIP NHS TRUST)</cp:lastModifiedBy>
  <cp:revision>5</cp:revision>
  <cp:lastPrinted>2017-02-20T12:35:00Z</cp:lastPrinted>
  <dcterms:created xsi:type="dcterms:W3CDTF">2024-03-18T13:52:00Z</dcterms:created>
  <dcterms:modified xsi:type="dcterms:W3CDTF">2025-02-07T08:54:00Z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0x010100E01933F6F9BC9D4AB1023899CBCD5C29</vt:lpwstr>
  </property>
  <property fmtid="{D5CDD505-2E9C-101B-9397-08002B2CF9AE}" pid="3" name="Order">
    <vt:r8>6010400</vt:r8>
  </property>
  <property fmtid="{D5CDD505-2E9C-101B-9397-08002B2CF9AE}" pid="4" name="MediaServiceImageTags">
    <vt:lpwstr/>
  </property>
</Properties>
</file>