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95"/>
        <w:gridCol w:w="2035"/>
        <w:gridCol w:w="1165"/>
        <w:gridCol w:w="883"/>
        <w:gridCol w:w="2038"/>
      </w:tblGrid>
      <w:tr w:rsidR="00587699" w:rsidRPr="00B87319" w14:paraId="34328B1E" w14:textId="77777777" w:rsidTr="00063F93">
        <w:tc>
          <w:tcPr>
            <w:tcW w:w="2895" w:type="dxa"/>
            <w:shd w:val="clear" w:color="auto" w:fill="B6DDE8" w:themeFill="accent5" w:themeFillTint="66"/>
          </w:tcPr>
          <w:p w14:paraId="5E2039DB" w14:textId="2EB16FA7" w:rsidR="00587699" w:rsidRPr="00B87319" w:rsidRDefault="00587699" w:rsidP="00587699">
            <w:pPr>
              <w:rPr>
                <w:rFonts w:ascii="Arial" w:hAnsi="Arial" w:cs="Arial"/>
                <w:b/>
              </w:rPr>
            </w:pPr>
            <w:r w:rsidRPr="00B87319">
              <w:rPr>
                <w:rFonts w:ascii="Arial" w:hAnsi="Arial" w:cs="Arial"/>
                <w:b/>
              </w:rPr>
              <w:t>Post and Specialty</w:t>
            </w:r>
          </w:p>
        </w:tc>
        <w:tc>
          <w:tcPr>
            <w:tcW w:w="6121" w:type="dxa"/>
            <w:gridSpan w:val="4"/>
          </w:tcPr>
          <w:p w14:paraId="72709A14" w14:textId="77777777" w:rsidR="002F3A0F" w:rsidRDefault="002F3A0F" w:rsidP="002F3A0F">
            <w:pPr>
              <w:rPr>
                <w:rFonts w:ascii="Arial" w:hAnsi="Arial" w:cs="Arial"/>
                <w:b/>
              </w:rPr>
            </w:pPr>
            <w:r w:rsidRPr="00B87319">
              <w:rPr>
                <w:rFonts w:ascii="Arial" w:hAnsi="Arial" w:cs="Arial"/>
                <w:b/>
              </w:rPr>
              <w:t>Consultant in</w:t>
            </w:r>
            <w:r>
              <w:rPr>
                <w:rFonts w:ascii="Arial" w:hAnsi="Arial" w:cs="Arial"/>
                <w:b/>
              </w:rPr>
              <w:t xml:space="preserve"> General Adult Psychiatry</w:t>
            </w:r>
          </w:p>
          <w:p w14:paraId="64D3D60B" w14:textId="77777777" w:rsidR="002F3A0F" w:rsidRPr="00B87319" w:rsidRDefault="002F3A0F" w:rsidP="002F3A0F">
            <w:pPr>
              <w:rPr>
                <w:rFonts w:ascii="Arial" w:hAnsi="Arial" w:cs="Arial"/>
                <w:b/>
              </w:rPr>
            </w:pPr>
            <w:r>
              <w:rPr>
                <w:rFonts w:ascii="Arial" w:hAnsi="Arial" w:cs="Arial"/>
                <w:b/>
              </w:rPr>
              <w:t>Crisis Resolution and Home Treatment Services</w:t>
            </w:r>
          </w:p>
          <w:p w14:paraId="2DC7609A" w14:textId="77777777" w:rsidR="002F3A0F" w:rsidRPr="00B87319" w:rsidRDefault="002F3A0F" w:rsidP="002F3A0F">
            <w:pPr>
              <w:rPr>
                <w:rFonts w:ascii="Arial" w:hAnsi="Arial" w:cs="Arial"/>
              </w:rPr>
            </w:pPr>
          </w:p>
          <w:p w14:paraId="664BBA33" w14:textId="6C150A6D" w:rsidR="002F3A0F" w:rsidRDefault="002F3A0F" w:rsidP="002F3A0F">
            <w:pPr>
              <w:rPr>
                <w:rFonts w:ascii="Arial" w:hAnsi="Arial" w:cs="Arial"/>
              </w:rPr>
            </w:pPr>
            <w:r w:rsidRPr="00B87319">
              <w:rPr>
                <w:rFonts w:ascii="Arial" w:hAnsi="Arial" w:cs="Arial"/>
              </w:rPr>
              <w:t xml:space="preserve">This post arises due to </w:t>
            </w:r>
            <w:r w:rsidR="0089259F">
              <w:rPr>
                <w:rFonts w:ascii="Arial" w:hAnsi="Arial" w:cs="Arial"/>
              </w:rPr>
              <w:t>expansion of service</w:t>
            </w:r>
          </w:p>
          <w:p w14:paraId="2918B709" w14:textId="54C6B648" w:rsidR="002F3A0F" w:rsidRPr="00B87319" w:rsidRDefault="002F3A0F" w:rsidP="002F3A0F">
            <w:pPr>
              <w:rPr>
                <w:rFonts w:ascii="Arial" w:hAnsi="Arial" w:cs="Arial"/>
              </w:rPr>
            </w:pPr>
          </w:p>
        </w:tc>
      </w:tr>
      <w:tr w:rsidR="00587699" w:rsidRPr="00B87319" w14:paraId="1D867AD7" w14:textId="77777777" w:rsidTr="00063F93">
        <w:tc>
          <w:tcPr>
            <w:tcW w:w="2895" w:type="dxa"/>
            <w:shd w:val="clear" w:color="auto" w:fill="B6DDE8" w:themeFill="accent5" w:themeFillTint="66"/>
          </w:tcPr>
          <w:p w14:paraId="003B5C33" w14:textId="15364253" w:rsidR="00587699" w:rsidRPr="00B87319" w:rsidRDefault="00587699" w:rsidP="00587699">
            <w:pPr>
              <w:rPr>
                <w:rFonts w:ascii="Arial" w:hAnsi="Arial" w:cs="Arial"/>
                <w:b/>
              </w:rPr>
            </w:pPr>
            <w:r w:rsidRPr="004C725C">
              <w:rPr>
                <w:rFonts w:ascii="Arial" w:hAnsi="Arial" w:cs="Arial"/>
                <w:b/>
                <w:color w:val="FF0000"/>
              </w:rPr>
              <w:t>Royal College of Psychiatrists approval details:</w:t>
            </w:r>
          </w:p>
        </w:tc>
        <w:tc>
          <w:tcPr>
            <w:tcW w:w="6121" w:type="dxa"/>
            <w:gridSpan w:val="4"/>
          </w:tcPr>
          <w:p w14:paraId="69BE47D1" w14:textId="77777777" w:rsidR="00587699" w:rsidRPr="00B87319" w:rsidRDefault="00587699" w:rsidP="00587699">
            <w:pPr>
              <w:spacing w:before="143"/>
              <w:jc w:val="both"/>
              <w:rPr>
                <w:rFonts w:ascii="Arial" w:hAnsi="Arial" w:cs="Arial"/>
                <w:i/>
                <w:iCs/>
                <w:color w:val="1F497D" w:themeColor="text2"/>
              </w:rPr>
            </w:pPr>
            <w:r w:rsidRPr="00B87319">
              <w:rPr>
                <w:rFonts w:ascii="Arial" w:hAnsi="Arial" w:cs="Arial"/>
                <w:i/>
                <w:iCs/>
                <w:color w:val="1F497D" w:themeColor="text2"/>
              </w:rPr>
              <w:t>Approval details to be completed by RCPsych</w:t>
            </w:r>
          </w:p>
          <w:p w14:paraId="43D61F14" w14:textId="77777777" w:rsidR="00587699" w:rsidRPr="00B87319" w:rsidRDefault="00587699" w:rsidP="00587699">
            <w:pPr>
              <w:spacing w:before="143"/>
              <w:jc w:val="both"/>
              <w:rPr>
                <w:rFonts w:ascii="Arial" w:hAnsi="Arial" w:cs="Arial"/>
                <w:b/>
                <w:bCs/>
              </w:rPr>
            </w:pPr>
            <w:r w:rsidRPr="00B87319">
              <w:rPr>
                <w:rFonts w:ascii="Arial" w:hAnsi="Arial" w:cs="Arial"/>
                <w:b/>
                <w:bCs/>
              </w:rPr>
              <w:t xml:space="preserve">RCPsych Ref No: XXXXXXXXX   </w:t>
            </w:r>
          </w:p>
          <w:p w14:paraId="6FC9F41F" w14:textId="33D3646D" w:rsidR="00587699" w:rsidRPr="00B87319" w:rsidRDefault="00587699" w:rsidP="00587699">
            <w:pPr>
              <w:rPr>
                <w:rFonts w:ascii="Arial" w:hAnsi="Arial" w:cs="Arial"/>
                <w:i/>
                <w:iCs/>
                <w:color w:val="C4BC96" w:themeColor="background2" w:themeShade="BF"/>
              </w:rPr>
            </w:pPr>
            <w:r w:rsidRPr="00B87319">
              <w:rPr>
                <w:rFonts w:ascii="Arial" w:hAnsi="Arial" w:cs="Arial"/>
                <w:i/>
                <w:iCs/>
                <w:color w:val="C4BC96" w:themeColor="background2" w:themeShade="BF"/>
              </w:rPr>
              <w:t>RCPSych to insert Approval Stamp</w:t>
            </w:r>
          </w:p>
          <w:p w14:paraId="4FC07EB7" w14:textId="77777777" w:rsidR="00587699" w:rsidRPr="00B87319" w:rsidRDefault="00587699" w:rsidP="00587699">
            <w:pPr>
              <w:rPr>
                <w:rFonts w:ascii="Arial" w:hAnsi="Arial" w:cs="Arial"/>
                <w:i/>
                <w:iCs/>
                <w:color w:val="C4BC96" w:themeColor="background2" w:themeShade="BF"/>
              </w:rPr>
            </w:pPr>
          </w:p>
          <w:p w14:paraId="004CCDF9" w14:textId="7DA5A74B" w:rsidR="00587699" w:rsidRPr="00B87319" w:rsidRDefault="00587699" w:rsidP="00587699">
            <w:pPr>
              <w:rPr>
                <w:rFonts w:ascii="Arial" w:hAnsi="Arial" w:cs="Arial"/>
              </w:rPr>
            </w:pPr>
          </w:p>
        </w:tc>
      </w:tr>
      <w:tr w:rsidR="00587699" w:rsidRPr="00B87319" w14:paraId="7BD8D63C" w14:textId="77777777" w:rsidTr="00063F93">
        <w:tc>
          <w:tcPr>
            <w:tcW w:w="2895" w:type="dxa"/>
            <w:shd w:val="clear" w:color="auto" w:fill="B6DDE8" w:themeFill="accent5" w:themeFillTint="66"/>
          </w:tcPr>
          <w:p w14:paraId="120FD63E" w14:textId="77777777" w:rsidR="00587699" w:rsidRPr="00B87319" w:rsidRDefault="00587699" w:rsidP="00587699">
            <w:pPr>
              <w:rPr>
                <w:rFonts w:ascii="Arial" w:hAnsi="Arial" w:cs="Arial"/>
                <w:b/>
              </w:rPr>
            </w:pPr>
            <w:r w:rsidRPr="00B87319">
              <w:rPr>
                <w:rFonts w:ascii="Arial" w:hAnsi="Arial" w:cs="Arial"/>
                <w:b/>
              </w:rPr>
              <w:t>DBS Level</w:t>
            </w:r>
          </w:p>
        </w:tc>
        <w:tc>
          <w:tcPr>
            <w:tcW w:w="6121" w:type="dxa"/>
            <w:gridSpan w:val="4"/>
          </w:tcPr>
          <w:p w14:paraId="42B61AA4" w14:textId="77777777" w:rsidR="00587699" w:rsidRDefault="00587699" w:rsidP="00587699">
            <w:pPr>
              <w:rPr>
                <w:rFonts w:ascii="Arial" w:hAnsi="Arial" w:cs="Arial"/>
              </w:rPr>
            </w:pPr>
            <w:r w:rsidRPr="00B87319">
              <w:rPr>
                <w:rFonts w:ascii="Arial" w:hAnsi="Arial" w:cs="Arial"/>
              </w:rPr>
              <w:t>Enhanced DBS with Both Adults and Children’s Barred Lists</w:t>
            </w:r>
          </w:p>
          <w:p w14:paraId="400E3375" w14:textId="74823848" w:rsidR="00587699" w:rsidRPr="00B87319" w:rsidRDefault="00587699" w:rsidP="00587699">
            <w:pPr>
              <w:rPr>
                <w:rFonts w:ascii="Arial" w:hAnsi="Arial" w:cs="Arial"/>
              </w:rPr>
            </w:pPr>
          </w:p>
        </w:tc>
      </w:tr>
      <w:tr w:rsidR="00587699" w:rsidRPr="00B87319" w14:paraId="6D5D1A56" w14:textId="77777777" w:rsidTr="00063F93">
        <w:tc>
          <w:tcPr>
            <w:tcW w:w="2895" w:type="dxa"/>
            <w:shd w:val="clear" w:color="auto" w:fill="B6DDE8" w:themeFill="accent5" w:themeFillTint="66"/>
          </w:tcPr>
          <w:p w14:paraId="489FA79E" w14:textId="6C610D75" w:rsidR="00587699" w:rsidRPr="00B87319" w:rsidRDefault="00587699" w:rsidP="00587699">
            <w:pPr>
              <w:rPr>
                <w:rFonts w:ascii="Arial" w:hAnsi="Arial" w:cs="Arial"/>
                <w:b/>
              </w:rPr>
            </w:pPr>
            <w:r w:rsidRPr="00B87319">
              <w:rPr>
                <w:rFonts w:ascii="Arial" w:hAnsi="Arial" w:cs="Arial"/>
                <w:b/>
              </w:rPr>
              <w:t>Base</w:t>
            </w:r>
          </w:p>
        </w:tc>
        <w:tc>
          <w:tcPr>
            <w:tcW w:w="6121" w:type="dxa"/>
            <w:gridSpan w:val="4"/>
          </w:tcPr>
          <w:p w14:paraId="623D867B" w14:textId="44A31E29" w:rsidR="00587699" w:rsidRPr="00B87319" w:rsidRDefault="00587699" w:rsidP="00C15CF8">
            <w:pPr>
              <w:spacing w:before="60"/>
              <w:outlineLvl w:val="0"/>
              <w:rPr>
                <w:rFonts w:ascii="Arial" w:hAnsi="Arial" w:cs="Arial"/>
              </w:rPr>
            </w:pPr>
            <w:r>
              <w:rPr>
                <w:rFonts w:ascii="Arial" w:eastAsia="Arial Unicode MS" w:hAnsi="Arial Unicode MS" w:cs="Times New Roman"/>
                <w:color w:val="000000"/>
                <w:sz w:val="24"/>
                <w:szCs w:val="24"/>
                <w:u w:color="000000"/>
                <w:lang w:eastAsia="en-GB"/>
              </w:rPr>
              <w:t>Bradgate Mental Health Unit, Glenfield Hospital Site, Groby Road, Leicester</w:t>
            </w:r>
            <w:r w:rsidR="002F3A0F">
              <w:rPr>
                <w:rFonts w:ascii="Arial" w:eastAsia="Arial Unicode MS" w:hAnsi="Arial Unicode MS" w:cs="Times New Roman"/>
                <w:color w:val="000000"/>
                <w:sz w:val="24"/>
                <w:szCs w:val="24"/>
                <w:u w:color="000000"/>
                <w:lang w:eastAsia="en-GB"/>
              </w:rPr>
              <w:t>, LE3 9EJ</w:t>
            </w:r>
          </w:p>
        </w:tc>
      </w:tr>
      <w:tr w:rsidR="00587699" w:rsidRPr="00B87319" w14:paraId="1F7F9474" w14:textId="77777777" w:rsidTr="00063F93">
        <w:tc>
          <w:tcPr>
            <w:tcW w:w="2895" w:type="dxa"/>
            <w:shd w:val="clear" w:color="auto" w:fill="B6DDE8" w:themeFill="accent5" w:themeFillTint="66"/>
          </w:tcPr>
          <w:p w14:paraId="693BA1B8" w14:textId="77777777" w:rsidR="00587699" w:rsidRPr="00B87319" w:rsidRDefault="00587699" w:rsidP="00587699">
            <w:pPr>
              <w:rPr>
                <w:rFonts w:ascii="Arial" w:hAnsi="Arial" w:cs="Arial"/>
                <w:b/>
              </w:rPr>
            </w:pPr>
            <w:r w:rsidRPr="00B87319">
              <w:rPr>
                <w:rFonts w:ascii="Arial" w:hAnsi="Arial" w:cs="Arial"/>
                <w:b/>
              </w:rPr>
              <w:t>Contract</w:t>
            </w:r>
          </w:p>
          <w:p w14:paraId="35CCACE4" w14:textId="7ED5C035" w:rsidR="00587699" w:rsidRPr="00B87319" w:rsidRDefault="00587699" w:rsidP="00587699">
            <w:pPr>
              <w:rPr>
                <w:rFonts w:ascii="Arial" w:hAnsi="Arial" w:cs="Arial"/>
                <w:b/>
              </w:rPr>
            </w:pPr>
          </w:p>
        </w:tc>
        <w:tc>
          <w:tcPr>
            <w:tcW w:w="6121" w:type="dxa"/>
            <w:gridSpan w:val="4"/>
          </w:tcPr>
          <w:p w14:paraId="08116C97" w14:textId="4BC87A0A" w:rsidR="00587699" w:rsidRPr="00B87319" w:rsidRDefault="00587699" w:rsidP="00587699">
            <w:pPr>
              <w:rPr>
                <w:rFonts w:ascii="Arial" w:hAnsi="Arial" w:cs="Arial"/>
                <w:color w:val="FF0000"/>
              </w:rPr>
            </w:pPr>
            <w:r w:rsidRPr="00587699">
              <w:rPr>
                <w:rFonts w:ascii="Arial" w:hAnsi="Arial" w:cs="Arial"/>
              </w:rPr>
              <w:t xml:space="preserve">Permanent </w:t>
            </w:r>
          </w:p>
        </w:tc>
      </w:tr>
      <w:tr w:rsidR="00587699" w:rsidRPr="00B87319" w14:paraId="547B9E7A" w14:textId="77777777" w:rsidTr="00063F93">
        <w:tc>
          <w:tcPr>
            <w:tcW w:w="2895" w:type="dxa"/>
            <w:shd w:val="clear" w:color="auto" w:fill="B6DDE8" w:themeFill="accent5" w:themeFillTint="66"/>
          </w:tcPr>
          <w:p w14:paraId="27C84689" w14:textId="77777777" w:rsidR="00587699" w:rsidRPr="00B87319" w:rsidRDefault="00587699" w:rsidP="00587699">
            <w:pPr>
              <w:rPr>
                <w:rFonts w:ascii="Arial" w:hAnsi="Arial" w:cs="Arial"/>
                <w:b/>
              </w:rPr>
            </w:pPr>
            <w:r w:rsidRPr="00B87319">
              <w:rPr>
                <w:rFonts w:ascii="Arial" w:hAnsi="Arial" w:cs="Arial"/>
                <w:b/>
              </w:rPr>
              <w:t>No. of Programmed Activities</w:t>
            </w:r>
          </w:p>
        </w:tc>
        <w:tc>
          <w:tcPr>
            <w:tcW w:w="2035" w:type="dxa"/>
          </w:tcPr>
          <w:p w14:paraId="70E4C22A" w14:textId="58879BB9" w:rsidR="00587699" w:rsidRPr="00B87319" w:rsidRDefault="00587699" w:rsidP="00587699">
            <w:pPr>
              <w:rPr>
                <w:rFonts w:ascii="Arial" w:hAnsi="Arial" w:cs="Arial"/>
              </w:rPr>
            </w:pPr>
            <w:r>
              <w:rPr>
                <w:rFonts w:ascii="Arial" w:hAnsi="Arial" w:cs="Arial"/>
              </w:rPr>
              <w:t>Total PAs:</w:t>
            </w:r>
            <w:r w:rsidR="00082211">
              <w:rPr>
                <w:rFonts w:ascii="Arial" w:hAnsi="Arial" w:cs="Arial"/>
              </w:rPr>
              <w:t>10</w:t>
            </w:r>
          </w:p>
        </w:tc>
        <w:tc>
          <w:tcPr>
            <w:tcW w:w="2048" w:type="dxa"/>
            <w:gridSpan w:val="2"/>
          </w:tcPr>
          <w:p w14:paraId="12F9A8FE" w14:textId="2BE0286D" w:rsidR="00587699" w:rsidRPr="00B87319" w:rsidRDefault="00587699" w:rsidP="00587699">
            <w:pPr>
              <w:rPr>
                <w:rFonts w:ascii="Arial" w:hAnsi="Arial" w:cs="Arial"/>
              </w:rPr>
            </w:pPr>
            <w:r>
              <w:rPr>
                <w:rFonts w:ascii="Arial" w:hAnsi="Arial" w:cs="Arial"/>
              </w:rPr>
              <w:t>DCC:7.5</w:t>
            </w:r>
          </w:p>
        </w:tc>
        <w:tc>
          <w:tcPr>
            <w:tcW w:w="2038" w:type="dxa"/>
          </w:tcPr>
          <w:p w14:paraId="3A867D24" w14:textId="230F40CD" w:rsidR="00587699" w:rsidRPr="00B87319" w:rsidRDefault="00587699" w:rsidP="00587699">
            <w:pPr>
              <w:rPr>
                <w:rFonts w:ascii="Arial" w:hAnsi="Arial" w:cs="Arial"/>
              </w:rPr>
            </w:pPr>
            <w:r>
              <w:rPr>
                <w:rFonts w:ascii="Arial" w:hAnsi="Arial" w:cs="Arial"/>
              </w:rPr>
              <w:t>SPA: 2.5</w:t>
            </w:r>
          </w:p>
        </w:tc>
      </w:tr>
      <w:tr w:rsidR="00587699" w:rsidRPr="00B87319" w14:paraId="118DF210" w14:textId="77777777" w:rsidTr="00063F93">
        <w:tc>
          <w:tcPr>
            <w:tcW w:w="2895" w:type="dxa"/>
            <w:shd w:val="clear" w:color="auto" w:fill="B6DDE8" w:themeFill="accent5" w:themeFillTint="66"/>
          </w:tcPr>
          <w:p w14:paraId="257B8457" w14:textId="34B5AA74" w:rsidR="00587699" w:rsidRPr="00B87319" w:rsidRDefault="00587699" w:rsidP="00587699">
            <w:pPr>
              <w:rPr>
                <w:rFonts w:ascii="Arial" w:hAnsi="Arial" w:cs="Arial"/>
                <w:b/>
              </w:rPr>
            </w:pPr>
            <w:r>
              <w:rPr>
                <w:rFonts w:ascii="Arial" w:hAnsi="Arial" w:cs="Arial"/>
                <w:b/>
              </w:rPr>
              <w:t>Accountable professionally to</w:t>
            </w:r>
          </w:p>
        </w:tc>
        <w:tc>
          <w:tcPr>
            <w:tcW w:w="6121" w:type="dxa"/>
            <w:gridSpan w:val="4"/>
          </w:tcPr>
          <w:p w14:paraId="0E90C52A" w14:textId="77777777" w:rsidR="00587699" w:rsidRPr="00B87319" w:rsidRDefault="00587699" w:rsidP="00587699">
            <w:pPr>
              <w:rPr>
                <w:rFonts w:ascii="Arial" w:hAnsi="Arial" w:cs="Arial"/>
              </w:rPr>
            </w:pPr>
            <w:r w:rsidRPr="00B87319">
              <w:rPr>
                <w:rFonts w:ascii="Arial" w:hAnsi="Arial" w:cs="Arial"/>
              </w:rPr>
              <w:t>Medical Director</w:t>
            </w:r>
          </w:p>
          <w:p w14:paraId="62E8A1A4" w14:textId="77777777" w:rsidR="00587699" w:rsidRPr="00B87319" w:rsidRDefault="00587699" w:rsidP="00587699">
            <w:pPr>
              <w:rPr>
                <w:rFonts w:ascii="Arial" w:hAnsi="Arial" w:cs="Arial"/>
              </w:rPr>
            </w:pPr>
          </w:p>
        </w:tc>
      </w:tr>
      <w:tr w:rsidR="00587699" w:rsidRPr="00B87319" w14:paraId="3D778CB1" w14:textId="77777777" w:rsidTr="00063F93">
        <w:tc>
          <w:tcPr>
            <w:tcW w:w="2895" w:type="dxa"/>
            <w:shd w:val="clear" w:color="auto" w:fill="B6DDE8" w:themeFill="accent5" w:themeFillTint="66"/>
          </w:tcPr>
          <w:p w14:paraId="0D8C0F5B" w14:textId="46F5783F" w:rsidR="00587699" w:rsidRPr="00B87319" w:rsidRDefault="00587699" w:rsidP="00587699">
            <w:pPr>
              <w:rPr>
                <w:rFonts w:ascii="Arial" w:hAnsi="Arial" w:cs="Arial"/>
                <w:b/>
              </w:rPr>
            </w:pPr>
            <w:r>
              <w:rPr>
                <w:rFonts w:ascii="Arial" w:hAnsi="Arial" w:cs="Arial"/>
                <w:b/>
              </w:rPr>
              <w:t>Accountable operationally to</w:t>
            </w:r>
          </w:p>
        </w:tc>
        <w:tc>
          <w:tcPr>
            <w:tcW w:w="6121" w:type="dxa"/>
            <w:gridSpan w:val="4"/>
          </w:tcPr>
          <w:p w14:paraId="5135CABC" w14:textId="170C824F" w:rsidR="00587699" w:rsidRPr="00B87319" w:rsidRDefault="00587699" w:rsidP="00587699">
            <w:pPr>
              <w:rPr>
                <w:rFonts w:ascii="Arial" w:hAnsi="Arial" w:cs="Arial"/>
              </w:rPr>
            </w:pPr>
            <w:r w:rsidRPr="00B87319">
              <w:rPr>
                <w:rFonts w:ascii="Arial" w:hAnsi="Arial" w:cs="Arial"/>
              </w:rPr>
              <w:t>Associate Medical Director fo</w:t>
            </w:r>
            <w:r>
              <w:rPr>
                <w:rFonts w:ascii="Arial" w:hAnsi="Arial" w:cs="Arial"/>
              </w:rPr>
              <w:t xml:space="preserve">r Mental Health </w:t>
            </w:r>
          </w:p>
          <w:p w14:paraId="17AF5C60" w14:textId="77777777" w:rsidR="00587699" w:rsidRPr="00B87319" w:rsidRDefault="00587699" w:rsidP="00587699">
            <w:pPr>
              <w:rPr>
                <w:rFonts w:ascii="Arial" w:hAnsi="Arial" w:cs="Arial"/>
              </w:rPr>
            </w:pPr>
          </w:p>
        </w:tc>
      </w:tr>
      <w:tr w:rsidR="005C074B" w:rsidRPr="00B87319" w14:paraId="0305CB6B" w14:textId="77777777" w:rsidTr="00063F93">
        <w:tc>
          <w:tcPr>
            <w:tcW w:w="2895" w:type="dxa"/>
            <w:vMerge w:val="restart"/>
            <w:shd w:val="clear" w:color="auto" w:fill="B6DDE8" w:themeFill="accent5" w:themeFillTint="66"/>
          </w:tcPr>
          <w:p w14:paraId="3A62A1CD" w14:textId="3FD7BBB4" w:rsidR="005C074B" w:rsidRDefault="005C074B" w:rsidP="00587699">
            <w:pPr>
              <w:rPr>
                <w:rFonts w:ascii="Arial" w:hAnsi="Arial" w:cs="Arial"/>
                <w:b/>
              </w:rPr>
            </w:pPr>
          </w:p>
          <w:p w14:paraId="2E5D3686" w14:textId="62F6835E" w:rsidR="005C074B" w:rsidRPr="00B87319" w:rsidRDefault="005C074B" w:rsidP="00587699">
            <w:pPr>
              <w:rPr>
                <w:rFonts w:ascii="Arial" w:hAnsi="Arial" w:cs="Arial"/>
                <w:b/>
              </w:rPr>
            </w:pPr>
            <w:r w:rsidRPr="00B87319">
              <w:rPr>
                <w:rFonts w:ascii="Arial" w:hAnsi="Arial" w:cs="Arial"/>
                <w:b/>
              </w:rPr>
              <w:t>Key Working Relationships</w:t>
            </w:r>
            <w:r>
              <w:rPr>
                <w:rFonts w:ascii="Arial" w:hAnsi="Arial" w:cs="Arial"/>
                <w:b/>
              </w:rPr>
              <w:t xml:space="preserve"> and lines of responsibility</w:t>
            </w:r>
          </w:p>
        </w:tc>
        <w:tc>
          <w:tcPr>
            <w:tcW w:w="3200" w:type="dxa"/>
            <w:gridSpan w:val="2"/>
          </w:tcPr>
          <w:p w14:paraId="56AA5357" w14:textId="7C510576" w:rsidR="005C074B" w:rsidRPr="00B87319" w:rsidRDefault="005C074B" w:rsidP="00587699">
            <w:pPr>
              <w:rPr>
                <w:rFonts w:ascii="Arial" w:hAnsi="Arial" w:cs="Arial"/>
              </w:rPr>
            </w:pPr>
            <w:r w:rsidRPr="00B87319">
              <w:rPr>
                <w:rFonts w:ascii="Arial" w:hAnsi="Arial" w:cs="Arial"/>
              </w:rPr>
              <w:t>Director</w:t>
            </w:r>
            <w:r>
              <w:rPr>
                <w:rFonts w:ascii="Arial" w:hAnsi="Arial" w:cs="Arial"/>
              </w:rPr>
              <w:t xml:space="preserve"> of Mental Health</w:t>
            </w:r>
          </w:p>
        </w:tc>
        <w:tc>
          <w:tcPr>
            <w:tcW w:w="2921" w:type="dxa"/>
            <w:gridSpan w:val="2"/>
          </w:tcPr>
          <w:p w14:paraId="0DCA1EB6" w14:textId="2D7418FF" w:rsidR="005C074B" w:rsidRDefault="005C074B" w:rsidP="00587699">
            <w:pPr>
              <w:rPr>
                <w:rFonts w:ascii="Arial" w:hAnsi="Arial" w:cs="Arial"/>
              </w:rPr>
            </w:pPr>
            <w:r>
              <w:rPr>
                <w:rFonts w:ascii="Arial" w:hAnsi="Arial" w:cs="Arial"/>
              </w:rPr>
              <w:t>Tanya Hibbert</w:t>
            </w:r>
          </w:p>
          <w:p w14:paraId="5F4C0918" w14:textId="6B935253" w:rsidR="005C074B" w:rsidRPr="00B87319" w:rsidRDefault="005C074B" w:rsidP="00587699">
            <w:pPr>
              <w:rPr>
                <w:rFonts w:ascii="Arial" w:hAnsi="Arial" w:cs="Arial"/>
              </w:rPr>
            </w:pPr>
          </w:p>
        </w:tc>
      </w:tr>
      <w:tr w:rsidR="005C074B" w:rsidRPr="00B87319" w14:paraId="1EF22709" w14:textId="77777777" w:rsidTr="00063F93">
        <w:tc>
          <w:tcPr>
            <w:tcW w:w="2895" w:type="dxa"/>
            <w:vMerge/>
            <w:shd w:val="clear" w:color="auto" w:fill="B6DDE8" w:themeFill="accent5" w:themeFillTint="66"/>
          </w:tcPr>
          <w:p w14:paraId="1059785A" w14:textId="77777777" w:rsidR="005C074B" w:rsidRPr="00B87319" w:rsidRDefault="005C074B" w:rsidP="00587699">
            <w:pPr>
              <w:rPr>
                <w:rFonts w:ascii="Arial" w:hAnsi="Arial" w:cs="Arial"/>
              </w:rPr>
            </w:pPr>
          </w:p>
        </w:tc>
        <w:tc>
          <w:tcPr>
            <w:tcW w:w="3200" w:type="dxa"/>
            <w:gridSpan w:val="2"/>
          </w:tcPr>
          <w:p w14:paraId="458DA621" w14:textId="5DB70384" w:rsidR="005C074B" w:rsidRPr="00B87319" w:rsidRDefault="005C074B" w:rsidP="00587699">
            <w:pPr>
              <w:rPr>
                <w:rFonts w:ascii="Arial" w:hAnsi="Arial" w:cs="Arial"/>
              </w:rPr>
            </w:pPr>
            <w:r w:rsidRPr="00B87319">
              <w:rPr>
                <w:rFonts w:ascii="Arial" w:hAnsi="Arial" w:cs="Arial"/>
              </w:rPr>
              <w:t>Associate Medical Director</w:t>
            </w:r>
            <w:r>
              <w:rPr>
                <w:rFonts w:ascii="Arial" w:hAnsi="Arial" w:cs="Arial"/>
              </w:rPr>
              <w:t xml:space="preserve"> for Mental Health</w:t>
            </w:r>
          </w:p>
        </w:tc>
        <w:tc>
          <w:tcPr>
            <w:tcW w:w="2921" w:type="dxa"/>
            <w:gridSpan w:val="2"/>
          </w:tcPr>
          <w:p w14:paraId="662B1C86" w14:textId="6C979502" w:rsidR="005C074B" w:rsidRPr="00B87319" w:rsidRDefault="00E730AD" w:rsidP="00587699">
            <w:pPr>
              <w:rPr>
                <w:rFonts w:ascii="Arial" w:hAnsi="Arial" w:cs="Arial"/>
              </w:rPr>
            </w:pPr>
            <w:r>
              <w:rPr>
                <w:rFonts w:ascii="Arial" w:hAnsi="Arial" w:cs="Arial"/>
              </w:rPr>
              <w:t>Vacant post</w:t>
            </w:r>
          </w:p>
        </w:tc>
      </w:tr>
      <w:tr w:rsidR="005C074B" w:rsidRPr="00B87319" w14:paraId="3AFF916B" w14:textId="77777777" w:rsidTr="00063F93">
        <w:tc>
          <w:tcPr>
            <w:tcW w:w="2895" w:type="dxa"/>
            <w:vMerge/>
            <w:shd w:val="clear" w:color="auto" w:fill="B6DDE8" w:themeFill="accent5" w:themeFillTint="66"/>
          </w:tcPr>
          <w:p w14:paraId="74571445" w14:textId="77777777" w:rsidR="005C074B" w:rsidRPr="00B87319" w:rsidRDefault="005C074B" w:rsidP="00587699">
            <w:pPr>
              <w:rPr>
                <w:rFonts w:ascii="Arial" w:hAnsi="Arial" w:cs="Arial"/>
              </w:rPr>
            </w:pPr>
          </w:p>
        </w:tc>
        <w:tc>
          <w:tcPr>
            <w:tcW w:w="3200" w:type="dxa"/>
            <w:gridSpan w:val="2"/>
          </w:tcPr>
          <w:p w14:paraId="4BB19413" w14:textId="4A335286" w:rsidR="005C074B" w:rsidRPr="00B87319" w:rsidRDefault="005C074B" w:rsidP="00587699">
            <w:pPr>
              <w:rPr>
                <w:rFonts w:ascii="Arial" w:hAnsi="Arial" w:cs="Arial"/>
              </w:rPr>
            </w:pPr>
            <w:r w:rsidRPr="00B87319">
              <w:rPr>
                <w:rFonts w:ascii="Arial" w:hAnsi="Arial" w:cs="Arial"/>
              </w:rPr>
              <w:t>Clinical Director</w:t>
            </w:r>
            <w:r>
              <w:rPr>
                <w:rFonts w:ascii="Arial" w:hAnsi="Arial" w:cs="Arial"/>
              </w:rPr>
              <w:t xml:space="preserve"> for Urgent Care</w:t>
            </w:r>
          </w:p>
        </w:tc>
        <w:tc>
          <w:tcPr>
            <w:tcW w:w="2921" w:type="dxa"/>
            <w:gridSpan w:val="2"/>
          </w:tcPr>
          <w:p w14:paraId="768A843A" w14:textId="6B40FDFB" w:rsidR="005C074B" w:rsidRPr="00B87319" w:rsidRDefault="005C074B" w:rsidP="00587699">
            <w:pPr>
              <w:rPr>
                <w:rFonts w:ascii="Arial" w:hAnsi="Arial" w:cs="Arial"/>
              </w:rPr>
            </w:pPr>
            <w:r>
              <w:rPr>
                <w:rFonts w:ascii="Arial" w:hAnsi="Arial" w:cs="Arial"/>
              </w:rPr>
              <w:t>Dr Mark McConnochie</w:t>
            </w:r>
          </w:p>
        </w:tc>
      </w:tr>
      <w:tr w:rsidR="005C074B" w:rsidRPr="00B87319" w14:paraId="5513D382" w14:textId="77777777" w:rsidTr="00063F93">
        <w:tc>
          <w:tcPr>
            <w:tcW w:w="2895" w:type="dxa"/>
            <w:vMerge/>
            <w:shd w:val="clear" w:color="auto" w:fill="B6DDE8" w:themeFill="accent5" w:themeFillTint="66"/>
          </w:tcPr>
          <w:p w14:paraId="4AD03C64" w14:textId="77777777" w:rsidR="005C074B" w:rsidRPr="00B87319" w:rsidRDefault="005C074B" w:rsidP="00587699">
            <w:pPr>
              <w:rPr>
                <w:rFonts w:ascii="Arial" w:hAnsi="Arial" w:cs="Arial"/>
              </w:rPr>
            </w:pPr>
          </w:p>
        </w:tc>
        <w:tc>
          <w:tcPr>
            <w:tcW w:w="3200" w:type="dxa"/>
            <w:gridSpan w:val="2"/>
          </w:tcPr>
          <w:p w14:paraId="5406FA0F" w14:textId="511F252D" w:rsidR="005C074B" w:rsidRPr="00B87319" w:rsidRDefault="005C074B" w:rsidP="00587699">
            <w:pPr>
              <w:rPr>
                <w:rFonts w:ascii="Arial" w:hAnsi="Arial" w:cs="Arial"/>
              </w:rPr>
            </w:pPr>
            <w:r w:rsidRPr="00B87319">
              <w:rPr>
                <w:rFonts w:ascii="Arial" w:hAnsi="Arial" w:cs="Arial"/>
              </w:rPr>
              <w:t>Line Manager</w:t>
            </w:r>
          </w:p>
        </w:tc>
        <w:tc>
          <w:tcPr>
            <w:tcW w:w="2921" w:type="dxa"/>
            <w:gridSpan w:val="2"/>
          </w:tcPr>
          <w:p w14:paraId="309AC525" w14:textId="1867446A" w:rsidR="005C074B" w:rsidRDefault="005C074B" w:rsidP="002F3A0F">
            <w:pPr>
              <w:rPr>
                <w:rFonts w:ascii="Arial" w:hAnsi="Arial" w:cs="Arial"/>
              </w:rPr>
            </w:pPr>
            <w:r>
              <w:rPr>
                <w:rFonts w:ascii="Arial" w:hAnsi="Arial" w:cs="Arial"/>
              </w:rPr>
              <w:t>Dr Mark McConnochie</w:t>
            </w:r>
          </w:p>
          <w:p w14:paraId="2AB3F6E7" w14:textId="4405E123" w:rsidR="005C074B" w:rsidRPr="00B87319" w:rsidRDefault="005C074B" w:rsidP="002F3A0F">
            <w:pPr>
              <w:rPr>
                <w:rFonts w:ascii="Arial" w:hAnsi="Arial" w:cs="Arial"/>
              </w:rPr>
            </w:pPr>
          </w:p>
        </w:tc>
      </w:tr>
      <w:tr w:rsidR="005C074B" w:rsidRPr="00B87319" w14:paraId="2FD9E44E" w14:textId="77777777" w:rsidTr="00063F93">
        <w:tc>
          <w:tcPr>
            <w:tcW w:w="2895" w:type="dxa"/>
            <w:vMerge/>
            <w:shd w:val="clear" w:color="auto" w:fill="B6DDE8" w:themeFill="accent5" w:themeFillTint="66"/>
          </w:tcPr>
          <w:p w14:paraId="74A60906" w14:textId="77777777" w:rsidR="005C074B" w:rsidRPr="00B87319" w:rsidRDefault="005C074B" w:rsidP="00587699">
            <w:pPr>
              <w:rPr>
                <w:rFonts w:ascii="Arial" w:hAnsi="Arial" w:cs="Arial"/>
              </w:rPr>
            </w:pPr>
          </w:p>
        </w:tc>
        <w:tc>
          <w:tcPr>
            <w:tcW w:w="3200" w:type="dxa"/>
            <w:gridSpan w:val="2"/>
          </w:tcPr>
          <w:p w14:paraId="62849261" w14:textId="16344181" w:rsidR="005C074B" w:rsidRPr="00B87319" w:rsidRDefault="005C074B" w:rsidP="00587699">
            <w:pPr>
              <w:rPr>
                <w:rFonts w:ascii="Arial" w:hAnsi="Arial" w:cs="Arial"/>
              </w:rPr>
            </w:pPr>
            <w:r w:rsidRPr="00B87319">
              <w:rPr>
                <w:rFonts w:ascii="Arial" w:hAnsi="Arial" w:cs="Arial"/>
              </w:rPr>
              <w:t>Responsible Officer</w:t>
            </w:r>
          </w:p>
        </w:tc>
        <w:tc>
          <w:tcPr>
            <w:tcW w:w="2921" w:type="dxa"/>
            <w:gridSpan w:val="2"/>
          </w:tcPr>
          <w:p w14:paraId="4D8C4DF7" w14:textId="0A158E1F" w:rsidR="005C074B" w:rsidRDefault="005C074B" w:rsidP="00587699">
            <w:pPr>
              <w:rPr>
                <w:rFonts w:ascii="Arial" w:hAnsi="Arial" w:cs="Arial"/>
              </w:rPr>
            </w:pPr>
            <w:r w:rsidRPr="00063F93">
              <w:rPr>
                <w:rFonts w:ascii="Arial" w:hAnsi="Arial" w:cs="Arial"/>
              </w:rPr>
              <w:t>Dr Bhanu Chadalavada</w:t>
            </w:r>
          </w:p>
          <w:p w14:paraId="12F082E2" w14:textId="16EAECD4" w:rsidR="005C074B" w:rsidRPr="00B87319" w:rsidRDefault="005C074B" w:rsidP="00587699">
            <w:pPr>
              <w:rPr>
                <w:rFonts w:ascii="Arial" w:hAnsi="Arial" w:cs="Arial"/>
              </w:rPr>
            </w:pPr>
          </w:p>
        </w:tc>
      </w:tr>
      <w:tr w:rsidR="005C074B" w:rsidRPr="00B87319" w14:paraId="61E85C25" w14:textId="77777777" w:rsidTr="005C074B">
        <w:trPr>
          <w:trHeight w:val="332"/>
        </w:trPr>
        <w:tc>
          <w:tcPr>
            <w:tcW w:w="2895" w:type="dxa"/>
            <w:vMerge/>
            <w:shd w:val="clear" w:color="auto" w:fill="B6DDE8" w:themeFill="accent5" w:themeFillTint="66"/>
          </w:tcPr>
          <w:p w14:paraId="551853C2" w14:textId="77777777" w:rsidR="005C074B" w:rsidRPr="00B87319" w:rsidRDefault="005C074B" w:rsidP="00587699">
            <w:pPr>
              <w:rPr>
                <w:rFonts w:ascii="Arial" w:hAnsi="Arial" w:cs="Arial"/>
              </w:rPr>
            </w:pPr>
          </w:p>
        </w:tc>
        <w:tc>
          <w:tcPr>
            <w:tcW w:w="3200" w:type="dxa"/>
            <w:gridSpan w:val="2"/>
          </w:tcPr>
          <w:p w14:paraId="67D53867" w14:textId="6DC1BC31" w:rsidR="005C074B" w:rsidRPr="00B87319" w:rsidRDefault="005C074B" w:rsidP="00587699">
            <w:pPr>
              <w:rPr>
                <w:rFonts w:ascii="Arial" w:hAnsi="Arial" w:cs="Arial"/>
              </w:rPr>
            </w:pPr>
            <w:r w:rsidRPr="00B87319">
              <w:rPr>
                <w:rFonts w:ascii="Arial" w:hAnsi="Arial" w:cs="Arial"/>
              </w:rPr>
              <w:t>Medical Director</w:t>
            </w:r>
          </w:p>
        </w:tc>
        <w:tc>
          <w:tcPr>
            <w:tcW w:w="2921" w:type="dxa"/>
            <w:gridSpan w:val="2"/>
          </w:tcPr>
          <w:p w14:paraId="32474E5F" w14:textId="77777777" w:rsidR="005C074B" w:rsidRDefault="005C074B" w:rsidP="00587699">
            <w:pPr>
              <w:rPr>
                <w:rFonts w:ascii="Arial" w:hAnsi="Arial" w:cs="Arial"/>
              </w:rPr>
            </w:pPr>
            <w:r w:rsidRPr="00063F93">
              <w:rPr>
                <w:rFonts w:ascii="Arial" w:hAnsi="Arial" w:cs="Arial"/>
              </w:rPr>
              <w:t xml:space="preserve">Dr Bhanu Chadalavada </w:t>
            </w:r>
          </w:p>
          <w:p w14:paraId="79E1AE4B" w14:textId="058B1E83" w:rsidR="005C074B" w:rsidRPr="00B87319" w:rsidRDefault="005C074B" w:rsidP="00587699">
            <w:pPr>
              <w:rPr>
                <w:rFonts w:ascii="Arial" w:hAnsi="Arial" w:cs="Arial"/>
              </w:rPr>
            </w:pPr>
          </w:p>
        </w:tc>
      </w:tr>
      <w:tr w:rsidR="005C074B" w:rsidRPr="00B87319" w14:paraId="6D460290" w14:textId="77777777" w:rsidTr="00063F93">
        <w:tc>
          <w:tcPr>
            <w:tcW w:w="2895" w:type="dxa"/>
            <w:vMerge/>
            <w:shd w:val="clear" w:color="auto" w:fill="B6DDE8" w:themeFill="accent5" w:themeFillTint="66"/>
          </w:tcPr>
          <w:p w14:paraId="2A23DCAC" w14:textId="77777777" w:rsidR="005C074B" w:rsidRPr="00B87319" w:rsidRDefault="005C074B" w:rsidP="00587699">
            <w:pPr>
              <w:rPr>
                <w:rFonts w:ascii="Arial" w:hAnsi="Arial" w:cs="Arial"/>
              </w:rPr>
            </w:pPr>
          </w:p>
        </w:tc>
        <w:tc>
          <w:tcPr>
            <w:tcW w:w="3200" w:type="dxa"/>
            <w:gridSpan w:val="2"/>
          </w:tcPr>
          <w:p w14:paraId="63FCE5C9" w14:textId="3C5D84D5" w:rsidR="005C074B" w:rsidRPr="00B87319" w:rsidRDefault="005C074B" w:rsidP="00587699">
            <w:pPr>
              <w:rPr>
                <w:rFonts w:ascii="Arial" w:hAnsi="Arial" w:cs="Arial"/>
              </w:rPr>
            </w:pPr>
            <w:r w:rsidRPr="00B87319">
              <w:rPr>
                <w:rFonts w:ascii="Arial" w:hAnsi="Arial" w:cs="Arial"/>
              </w:rPr>
              <w:t>Chief Executive</w:t>
            </w:r>
          </w:p>
        </w:tc>
        <w:tc>
          <w:tcPr>
            <w:tcW w:w="2921" w:type="dxa"/>
            <w:gridSpan w:val="2"/>
          </w:tcPr>
          <w:p w14:paraId="4E329CF0" w14:textId="77777777" w:rsidR="005C074B" w:rsidRDefault="005C074B" w:rsidP="00587699">
            <w:pPr>
              <w:rPr>
                <w:rFonts w:ascii="Arial" w:hAnsi="Arial" w:cs="Arial"/>
              </w:rPr>
            </w:pPr>
            <w:r w:rsidRPr="00B87319">
              <w:rPr>
                <w:rFonts w:ascii="Arial" w:hAnsi="Arial" w:cs="Arial"/>
              </w:rPr>
              <w:t>Angela Hillery</w:t>
            </w:r>
          </w:p>
          <w:p w14:paraId="780830D3" w14:textId="7229F1EA" w:rsidR="005C074B" w:rsidRPr="00B87319" w:rsidRDefault="005C074B" w:rsidP="00587699">
            <w:pPr>
              <w:rPr>
                <w:rFonts w:ascii="Arial" w:hAnsi="Arial" w:cs="Arial"/>
              </w:rPr>
            </w:pPr>
          </w:p>
        </w:tc>
      </w:tr>
      <w:tr w:rsidR="005C074B" w:rsidRPr="00B87319" w14:paraId="5C35A63B" w14:textId="77777777" w:rsidTr="00063F93">
        <w:tc>
          <w:tcPr>
            <w:tcW w:w="2895" w:type="dxa"/>
            <w:vMerge/>
            <w:shd w:val="clear" w:color="auto" w:fill="B6DDE8" w:themeFill="accent5" w:themeFillTint="66"/>
          </w:tcPr>
          <w:p w14:paraId="5F68CFAD" w14:textId="77777777" w:rsidR="005C074B" w:rsidRPr="00B87319" w:rsidRDefault="005C074B" w:rsidP="00587699">
            <w:pPr>
              <w:rPr>
                <w:rFonts w:ascii="Arial" w:hAnsi="Arial" w:cs="Arial"/>
              </w:rPr>
            </w:pPr>
          </w:p>
        </w:tc>
        <w:tc>
          <w:tcPr>
            <w:tcW w:w="3200" w:type="dxa"/>
            <w:gridSpan w:val="2"/>
          </w:tcPr>
          <w:p w14:paraId="52F4139C" w14:textId="7118A6F3" w:rsidR="005C074B" w:rsidRPr="00B87319" w:rsidRDefault="005C074B" w:rsidP="00587699">
            <w:pPr>
              <w:rPr>
                <w:rFonts w:ascii="Arial" w:hAnsi="Arial" w:cs="Arial"/>
              </w:rPr>
            </w:pPr>
            <w:r>
              <w:rPr>
                <w:rFonts w:ascii="Arial" w:hAnsi="Arial" w:cs="Arial"/>
              </w:rPr>
              <w:t>Deputy Chief Executive</w:t>
            </w:r>
          </w:p>
        </w:tc>
        <w:tc>
          <w:tcPr>
            <w:tcW w:w="2921" w:type="dxa"/>
            <w:gridSpan w:val="2"/>
          </w:tcPr>
          <w:p w14:paraId="606EA7BA" w14:textId="77777777" w:rsidR="005C074B" w:rsidRDefault="005C074B" w:rsidP="00587699">
            <w:pPr>
              <w:rPr>
                <w:rFonts w:ascii="Arial" w:hAnsi="Arial" w:cs="Arial"/>
              </w:rPr>
            </w:pPr>
            <w:r>
              <w:rPr>
                <w:rFonts w:ascii="Arial" w:hAnsi="Arial" w:cs="Arial"/>
              </w:rPr>
              <w:t>Jean Knight</w:t>
            </w:r>
          </w:p>
          <w:p w14:paraId="78A139DC" w14:textId="357746A5" w:rsidR="005C074B" w:rsidRPr="00B87319" w:rsidRDefault="005C074B" w:rsidP="00587699">
            <w:pPr>
              <w:rPr>
                <w:rFonts w:ascii="Arial" w:hAnsi="Arial" w:cs="Arial"/>
              </w:rPr>
            </w:pPr>
          </w:p>
        </w:tc>
      </w:tr>
    </w:tbl>
    <w:p w14:paraId="31DD4E84" w14:textId="77777777" w:rsidR="000A563E" w:rsidRPr="00B87319" w:rsidRDefault="000A563E" w:rsidP="000A563E">
      <w:pPr>
        <w:spacing w:after="0" w:line="240" w:lineRule="auto"/>
      </w:pPr>
    </w:p>
    <w:p w14:paraId="1219EFB4" w14:textId="541DAB69" w:rsidR="000A563E" w:rsidRDefault="000A563E">
      <w:pPr>
        <w:rPr>
          <w:sz w:val="24"/>
          <w:szCs w:val="24"/>
        </w:rPr>
      </w:pPr>
    </w:p>
    <w:p w14:paraId="080D8664" w14:textId="77777777" w:rsidR="00AF68B3" w:rsidRDefault="00AF68B3" w:rsidP="000A563E">
      <w:pPr>
        <w:spacing w:after="0" w:line="240" w:lineRule="auto"/>
        <w:rPr>
          <w:rFonts w:ascii="Arial" w:hAnsi="Arial" w:cs="Arial"/>
          <w:b/>
        </w:rPr>
      </w:pPr>
    </w:p>
    <w:p w14:paraId="09E94E13" w14:textId="77777777" w:rsidR="00AF68B3" w:rsidRDefault="00AF68B3" w:rsidP="000A563E">
      <w:pPr>
        <w:spacing w:after="0" w:line="240" w:lineRule="auto"/>
        <w:rPr>
          <w:rFonts w:ascii="Arial" w:hAnsi="Arial" w:cs="Arial"/>
          <w:b/>
        </w:rPr>
      </w:pPr>
    </w:p>
    <w:p w14:paraId="5664D4AA" w14:textId="77777777" w:rsidR="000A563E" w:rsidRPr="000C115D" w:rsidRDefault="00A23E7A" w:rsidP="000A563E">
      <w:pPr>
        <w:spacing w:after="0" w:line="240" w:lineRule="auto"/>
        <w:rPr>
          <w:rFonts w:ascii="Arial" w:hAnsi="Arial" w:cs="Arial"/>
        </w:rPr>
      </w:pPr>
      <w:r w:rsidRPr="000C115D">
        <w:rPr>
          <w:rFonts w:ascii="Arial" w:hAnsi="Arial" w:cs="Arial"/>
          <w:b/>
        </w:rPr>
        <w:lastRenderedPageBreak/>
        <w:t>1.</w:t>
      </w:r>
      <w:r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is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Leicester is home to the state of the art Curve Theatre, as well as lar</w:t>
      </w:r>
      <w:r>
        <w:rPr>
          <w:rFonts w:ascii="Arial" w:hAnsi="Arial" w:cs="Arial"/>
        </w:rPr>
        <w:t>ge and multi-cultural festivals</w:t>
      </w:r>
      <w:r w:rsidRPr="003C7528">
        <w:rPr>
          <w:rFonts w:ascii="Arial" w:hAnsi="Arial" w:cs="Arial"/>
        </w:rPr>
        <w:t>. The City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Twinlakes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2815D5E3" w14:textId="77777777" w:rsidR="00915B4B" w:rsidRDefault="00915B4B"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645877EE" w14:textId="77777777" w:rsidR="00C4793C" w:rsidRDefault="00C4793C" w:rsidP="008A62B8">
      <w:pPr>
        <w:spacing w:after="0" w:line="240" w:lineRule="auto"/>
        <w:jc w:val="both"/>
        <w:rPr>
          <w:rFonts w:ascii="Arial" w:eastAsia="Times New Roman" w:hAnsi="Arial" w:cs="Arial"/>
          <w:lang w:eastAsia="en-GB"/>
        </w:rPr>
      </w:pPr>
    </w:p>
    <w:p w14:paraId="71C90CE5" w14:textId="77777777" w:rsidR="00915B4B" w:rsidRDefault="00915B4B" w:rsidP="008A62B8">
      <w:pPr>
        <w:spacing w:after="0" w:line="240" w:lineRule="auto"/>
        <w:jc w:val="both"/>
        <w:rPr>
          <w:rFonts w:ascii="Arial" w:eastAsia="Times New Roman" w:hAnsi="Arial" w:cs="Arial"/>
          <w:lang w:eastAsia="en-GB"/>
        </w:rPr>
      </w:pPr>
    </w:p>
    <w:p w14:paraId="16677264" w14:textId="77777777" w:rsidR="00915B4B" w:rsidRPr="00813D39" w:rsidRDefault="00915B4B" w:rsidP="00915B4B">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 xml:space="preserve">Our strategy: </w:t>
      </w:r>
      <w:r>
        <w:rPr>
          <w:rFonts w:ascii="Arial" w:hAnsi="Arial" w:cs="Arial"/>
          <w:b/>
          <w:bCs/>
          <w:color w:val="005EB9"/>
        </w:rPr>
        <w:t>Together we THRIVE</w:t>
      </w:r>
    </w:p>
    <w:p w14:paraId="199C1490" w14:textId="77777777" w:rsidR="00915B4B" w:rsidRDefault="00915B4B" w:rsidP="00915B4B">
      <w:pPr>
        <w:spacing w:after="0" w:line="240" w:lineRule="auto"/>
        <w:jc w:val="both"/>
        <w:rPr>
          <w:noProof/>
          <w:lang w:eastAsia="en-GB"/>
        </w:rPr>
      </w:pPr>
    </w:p>
    <w:p w14:paraId="13CD8E90" w14:textId="77777777" w:rsidR="00915B4B" w:rsidRPr="00DF6015" w:rsidRDefault="00915B4B" w:rsidP="00915B4B">
      <w:pPr>
        <w:pStyle w:val="NormalWeb"/>
        <w:shd w:val="clear" w:color="auto" w:fill="FEFEFE"/>
        <w:rPr>
          <w:rFonts w:ascii="Arial" w:hAnsi="Arial" w:cs="Arial"/>
          <w:color w:val="0A0A0A"/>
          <w:sz w:val="22"/>
          <w:szCs w:val="22"/>
        </w:rPr>
      </w:pPr>
      <w:r w:rsidRPr="00DF6015">
        <w:rPr>
          <w:rFonts w:ascii="Arial" w:hAnsi="Arial" w:cs="Arial"/>
          <w:color w:val="0A0A0A"/>
          <w:sz w:val="22"/>
          <w:szCs w:val="22"/>
        </w:rPr>
        <w:t xml:space="preserve">We </w:t>
      </w:r>
      <w:r>
        <w:rPr>
          <w:rFonts w:ascii="Arial" w:hAnsi="Arial" w:cs="Arial"/>
          <w:color w:val="0A0A0A"/>
          <w:sz w:val="22"/>
          <w:szCs w:val="22"/>
        </w:rPr>
        <w:t xml:space="preserve">are proud of our </w:t>
      </w:r>
      <w:r w:rsidRPr="00DF6015">
        <w:rPr>
          <w:rFonts w:ascii="Arial" w:hAnsi="Arial" w:cs="Arial"/>
          <w:color w:val="0A0A0A"/>
          <w:sz w:val="22"/>
          <w:szCs w:val="22"/>
        </w:rPr>
        <w:t>mission, vision and strategy, which will help guide our work and priorities for the next five years</w:t>
      </w:r>
      <w:r>
        <w:rPr>
          <w:rFonts w:ascii="Arial" w:hAnsi="Arial" w:cs="Arial"/>
          <w:color w:val="0A0A0A"/>
          <w:sz w:val="22"/>
          <w:szCs w:val="22"/>
        </w:rPr>
        <w:t>, aligned to the NHS Ten Year Plan.</w:t>
      </w:r>
      <w:r w:rsidRPr="00DF6015">
        <w:rPr>
          <w:rFonts w:ascii="Arial" w:hAnsi="Arial" w:cs="Arial"/>
          <w:color w:val="0A0A0A"/>
          <w:sz w:val="22"/>
          <w:szCs w:val="22"/>
        </w:rPr>
        <w:t xml:space="preserve"> We’ve developed these jointly, as Leicestershire Partnership and Northamptonshire Healthcare Associate University Group, to set out how our independent organisations will work together to improve health outcomes for our local communities and help the people we support to thrive.</w:t>
      </w:r>
    </w:p>
    <w:p w14:paraId="4FE2F145" w14:textId="77777777" w:rsidR="00915B4B" w:rsidRPr="00DF6015" w:rsidRDefault="00915B4B" w:rsidP="00915B4B">
      <w:pPr>
        <w:pStyle w:val="NormalWeb"/>
        <w:shd w:val="clear" w:color="auto" w:fill="FEFEFE"/>
        <w:rPr>
          <w:rFonts w:ascii="Arial" w:hAnsi="Arial" w:cs="Arial"/>
          <w:b/>
          <w:bCs/>
          <w:color w:val="0A0A0A"/>
          <w:sz w:val="22"/>
          <w:szCs w:val="22"/>
        </w:rPr>
      </w:pPr>
      <w:r w:rsidRPr="00DF6015">
        <w:rPr>
          <w:rFonts w:ascii="Arial" w:hAnsi="Arial" w:cs="Arial"/>
          <w:color w:val="0A0A0A"/>
          <w:sz w:val="22"/>
          <w:szCs w:val="22"/>
        </w:rPr>
        <w:t xml:space="preserve">Our vision is aspirational; it is where we want to be in 2030. It is what will inform our planning and help us to make decisions. Our new vision is: </w:t>
      </w:r>
      <w:r w:rsidRPr="00DF6015">
        <w:rPr>
          <w:rFonts w:ascii="Arial" w:hAnsi="Arial" w:cs="Arial"/>
          <w:b/>
          <w:bCs/>
          <w:color w:val="0A0A0A"/>
          <w:sz w:val="22"/>
          <w:szCs w:val="22"/>
        </w:rPr>
        <w:t xml:space="preserve">Together we THRIVE; building compassionate care and wellbeing for all. </w:t>
      </w:r>
    </w:p>
    <w:p w14:paraId="504EBE6E" w14:textId="77777777" w:rsidR="00915B4B" w:rsidRPr="00DF6015" w:rsidRDefault="00915B4B" w:rsidP="00915B4B">
      <w:pPr>
        <w:pStyle w:val="NormalWeb"/>
        <w:shd w:val="clear" w:color="auto" w:fill="FEFEFE"/>
        <w:rPr>
          <w:rFonts w:ascii="Arial" w:hAnsi="Arial" w:cs="Arial"/>
          <w:b/>
          <w:bCs/>
          <w:color w:val="0A0A0A"/>
          <w:sz w:val="22"/>
          <w:szCs w:val="22"/>
          <w:shd w:val="clear" w:color="auto" w:fill="FEFEFE"/>
        </w:rPr>
      </w:pPr>
      <w:r w:rsidRPr="00DF6015">
        <w:rPr>
          <w:rFonts w:ascii="Arial" w:hAnsi="Arial" w:cs="Arial"/>
          <w:color w:val="0A0A0A"/>
          <w:sz w:val="22"/>
          <w:szCs w:val="22"/>
          <w:shd w:val="clear" w:color="auto" w:fill="FEFEFE"/>
        </w:rPr>
        <w:t xml:space="preserve">Our mission is our daily driver; it’s why we turn up to work every day to do what we do. Our new mission is: </w:t>
      </w:r>
      <w:r w:rsidRPr="00DF6015">
        <w:rPr>
          <w:rFonts w:ascii="Arial" w:hAnsi="Arial" w:cs="Arial"/>
          <w:b/>
          <w:bCs/>
          <w:color w:val="0A0A0A"/>
          <w:sz w:val="22"/>
          <w:szCs w:val="22"/>
          <w:shd w:val="clear" w:color="auto" w:fill="FEFEFE"/>
        </w:rPr>
        <w:t>Making a difference, together.</w:t>
      </w:r>
    </w:p>
    <w:p w14:paraId="77EC5E0B" w14:textId="77777777" w:rsidR="00915B4B" w:rsidRDefault="00915B4B" w:rsidP="00915B4B">
      <w:pPr>
        <w:pStyle w:val="NormalWeb"/>
        <w:shd w:val="clear" w:color="auto" w:fill="FEFEFE"/>
        <w:rPr>
          <w:rFonts w:ascii="Arial" w:hAnsi="Arial" w:cs="Arial"/>
          <w:color w:val="0A0A0A"/>
          <w:sz w:val="22"/>
          <w:szCs w:val="22"/>
          <w:shd w:val="clear" w:color="auto" w:fill="FEFEFE"/>
        </w:rPr>
      </w:pPr>
      <w:r w:rsidRPr="00DF6015">
        <w:rPr>
          <w:rFonts w:ascii="Arial" w:hAnsi="Arial" w:cs="Arial"/>
          <w:color w:val="0A0A0A"/>
          <w:sz w:val="22"/>
          <w:szCs w:val="22"/>
          <w:shd w:val="clear" w:color="auto" w:fill="FEFEFE"/>
        </w:rPr>
        <w:t>Our strategy is our enabler; the vehicle that will help us to take our day-to-day mission and build upon this to reach our vision. We call it THRIVE, and it stands for six strategic priorities</w:t>
      </w:r>
      <w:r>
        <w:rPr>
          <w:rFonts w:ascii="Arial" w:hAnsi="Arial" w:cs="Arial"/>
          <w:color w:val="0A0A0A"/>
          <w:sz w:val="22"/>
          <w:szCs w:val="22"/>
          <w:shd w:val="clear" w:color="auto" w:fill="FEFEFE"/>
        </w:rPr>
        <w:t>:</w:t>
      </w:r>
    </w:p>
    <w:p w14:paraId="41E0D544" w14:textId="77777777" w:rsidR="00915B4B" w:rsidRDefault="00915B4B" w:rsidP="00915B4B">
      <w:pPr>
        <w:pStyle w:val="NormalWeb"/>
        <w:numPr>
          <w:ilvl w:val="0"/>
          <w:numId w:val="40"/>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T – Technology</w:t>
      </w:r>
    </w:p>
    <w:p w14:paraId="6962628C" w14:textId="77777777" w:rsidR="00915B4B" w:rsidRDefault="00915B4B" w:rsidP="00915B4B">
      <w:pPr>
        <w:pStyle w:val="NormalWeb"/>
        <w:numPr>
          <w:ilvl w:val="0"/>
          <w:numId w:val="40"/>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H – Healthy communities</w:t>
      </w:r>
    </w:p>
    <w:p w14:paraId="7E6B94AF" w14:textId="77777777" w:rsidR="00915B4B" w:rsidRDefault="00915B4B" w:rsidP="00915B4B">
      <w:pPr>
        <w:pStyle w:val="NormalWeb"/>
        <w:numPr>
          <w:ilvl w:val="0"/>
          <w:numId w:val="40"/>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R – Responsive</w:t>
      </w:r>
    </w:p>
    <w:p w14:paraId="0033F923" w14:textId="77777777" w:rsidR="00915B4B" w:rsidRDefault="00915B4B" w:rsidP="00915B4B">
      <w:pPr>
        <w:pStyle w:val="NormalWeb"/>
        <w:numPr>
          <w:ilvl w:val="0"/>
          <w:numId w:val="40"/>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I – Including everyone</w:t>
      </w:r>
    </w:p>
    <w:p w14:paraId="64E9550E" w14:textId="77777777" w:rsidR="00915B4B" w:rsidRDefault="00915B4B" w:rsidP="00915B4B">
      <w:pPr>
        <w:pStyle w:val="NormalWeb"/>
        <w:numPr>
          <w:ilvl w:val="0"/>
          <w:numId w:val="40"/>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V – Valuing our people</w:t>
      </w:r>
    </w:p>
    <w:p w14:paraId="6670F3C5" w14:textId="77777777" w:rsidR="00915B4B" w:rsidRPr="00DF6015" w:rsidRDefault="00915B4B" w:rsidP="00915B4B">
      <w:pPr>
        <w:pStyle w:val="NormalWeb"/>
        <w:numPr>
          <w:ilvl w:val="0"/>
          <w:numId w:val="40"/>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E – Efficient and effective</w:t>
      </w:r>
      <w:r w:rsidRPr="00DF6015">
        <w:rPr>
          <w:rFonts w:ascii="Arial" w:hAnsi="Arial" w:cs="Arial"/>
          <w:color w:val="0A0A0A"/>
          <w:sz w:val="22"/>
          <w:szCs w:val="22"/>
          <w:shd w:val="clear" w:color="auto" w:fill="FEFEFE"/>
        </w:rPr>
        <w:t>​</w:t>
      </w:r>
    </w:p>
    <w:p w14:paraId="1644B432" w14:textId="77777777" w:rsidR="00915B4B" w:rsidRDefault="00915B4B" w:rsidP="00915B4B">
      <w:pPr>
        <w:pStyle w:val="NormalWeb"/>
        <w:shd w:val="clear" w:color="auto" w:fill="FEFEFE"/>
        <w:rPr>
          <w:rFonts w:ascii="Arial" w:hAnsi="Arial" w:cs="Arial"/>
          <w:sz w:val="22"/>
          <w:szCs w:val="22"/>
        </w:rPr>
      </w:pPr>
      <w:r>
        <w:rPr>
          <w:rFonts w:ascii="Arial" w:hAnsi="Arial" w:cs="Arial"/>
          <w:sz w:val="22"/>
          <w:szCs w:val="22"/>
        </w:rPr>
        <w:t>Underpinning all of this is our values and leadership behaviours for all. Our values of compassion, respect, integrity and trust guide us in everything we do. At LPT everybody is a leader and our Leadership Behaviours for All emphasise the culture we are committed to nurturing, where everybody is making a difference together to thrive.</w:t>
      </w:r>
    </w:p>
    <w:p w14:paraId="72433ED1" w14:textId="77777777" w:rsidR="00E16462" w:rsidRDefault="00E16462" w:rsidP="008A62B8">
      <w:pPr>
        <w:spacing w:after="0" w:line="240" w:lineRule="auto"/>
        <w:jc w:val="both"/>
        <w:rPr>
          <w:rFonts w:ascii="Arial" w:eastAsia="Times New Roman" w:hAnsi="Arial" w:cs="Arial"/>
          <w:lang w:eastAsia="en-GB"/>
        </w:rPr>
      </w:pPr>
    </w:p>
    <w:p w14:paraId="18CDC985" w14:textId="27B5A24C" w:rsidR="00AF68B3" w:rsidRDefault="00915B4B" w:rsidP="000A563E">
      <w:pPr>
        <w:spacing w:after="0" w:line="240" w:lineRule="auto"/>
        <w:rPr>
          <w:rFonts w:ascii="Arial" w:hAnsi="Arial" w:cs="Arial"/>
          <w:b/>
        </w:rPr>
      </w:pPr>
      <w:r>
        <w:rPr>
          <w:rFonts w:ascii="Arial" w:hAnsi="Arial" w:cs="Arial"/>
          <w:noProof/>
          <w14:ligatures w14:val="standardContextual"/>
        </w:rPr>
        <w:lastRenderedPageBreak/>
        <w:drawing>
          <wp:inline distT="0" distB="0" distL="0" distR="0" wp14:anchorId="7E1FF3C7" wp14:editId="2FD712E1">
            <wp:extent cx="5731510" cy="3223895"/>
            <wp:effectExtent l="0" t="0" r="2540" b="0"/>
            <wp:docPr id="1010253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3999"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7654BC1" w14:textId="77777777" w:rsidR="00915B4B" w:rsidRDefault="00915B4B" w:rsidP="00915B4B">
      <w:pPr>
        <w:pStyle w:val="NormalWeb"/>
        <w:shd w:val="clear" w:color="auto" w:fill="FEFEFE"/>
        <w:rPr>
          <w:rFonts w:ascii="Arial" w:hAnsi="Arial" w:cs="Arial"/>
        </w:rPr>
      </w:pPr>
    </w:p>
    <w:p w14:paraId="12C5491C" w14:textId="44180DDE" w:rsidR="00915B4B" w:rsidRDefault="00915B4B" w:rsidP="00915B4B">
      <w:pPr>
        <w:pStyle w:val="NormalWeb"/>
        <w:shd w:val="clear" w:color="auto" w:fill="FEFEFE"/>
        <w:rPr>
          <w:rFonts w:ascii="Arial" w:hAnsi="Arial" w:cs="Arial"/>
          <w:sz w:val="22"/>
          <w:szCs w:val="22"/>
        </w:rPr>
      </w:pPr>
      <w:r>
        <w:rPr>
          <w:rFonts w:ascii="Arial" w:hAnsi="Arial" w:cs="Arial"/>
          <w:sz w:val="22"/>
          <w:szCs w:val="22"/>
        </w:rPr>
        <w:t>We are committed to</w:t>
      </w:r>
      <w:r w:rsidRPr="00B916A2">
        <w:rPr>
          <w:rFonts w:ascii="Arial" w:hAnsi="Arial" w:cs="Arial"/>
          <w:sz w:val="22"/>
          <w:szCs w:val="22"/>
        </w:rPr>
        <w:t xml:space="preserve"> providing high quality services with a focus on continuous improvement. We want to help build thriving, healthy communities, and co-produce care delivery pathways that provide the types of care our service users need, making the most of resources at our disposal. We will continue to be responsive, innovative, and inclusive. We want the thousands of people who work for our Trusts or in our partnerships to know they are valued. Our Group strategy helps us to maintain a strong and clear record for working proactively to improve, learn and share together with a focus on delivering compassionate care and wellbeing for all.</w:t>
      </w:r>
    </w:p>
    <w:p w14:paraId="35926E05" w14:textId="77777777" w:rsidR="00915B4B" w:rsidRDefault="00915B4B" w:rsidP="00915B4B">
      <w:pPr>
        <w:spacing w:after="0" w:line="240" w:lineRule="auto"/>
        <w:jc w:val="both"/>
        <w:rPr>
          <w:rFonts w:ascii="Arial" w:eastAsia="Calibri" w:hAnsi="Arial" w:cs="Arial"/>
        </w:rPr>
      </w:pPr>
      <w:r>
        <w:rPr>
          <w:rFonts w:ascii="Arial" w:eastAsia="Calibri" w:hAnsi="Arial" w:cs="Arial"/>
        </w:rPr>
        <w:t xml:space="preserve">We hold Associate University Group status, which underlines our commitment to working closely with our universities. </w:t>
      </w:r>
      <w:r w:rsidRPr="00E16462">
        <w:rPr>
          <w:rFonts w:ascii="Arial" w:eastAsia="Calibri" w:hAnsi="Arial" w:cs="Arial"/>
        </w:rPr>
        <w:t>LPT is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 Montfort University and Loughborough University</w:t>
      </w:r>
      <w:r w:rsidRPr="00E16462">
        <w:rPr>
          <w:rFonts w:ascii="Arial" w:eastAsia="Calibri" w:hAnsi="Arial" w:cs="Arial"/>
        </w:rPr>
        <w:t xml:space="preserve"> to deliver effective pre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4D938E28" w14:textId="77777777" w:rsidR="00915B4B" w:rsidRDefault="00915B4B" w:rsidP="00915B4B">
      <w:pPr>
        <w:spacing w:after="0" w:line="240" w:lineRule="auto"/>
        <w:jc w:val="both"/>
        <w:rPr>
          <w:rFonts w:ascii="Arial" w:eastAsia="Times New Roman" w:hAnsi="Arial" w:cs="Arial"/>
          <w:lang w:eastAsia="en-GB"/>
        </w:rPr>
      </w:pPr>
    </w:p>
    <w:p w14:paraId="30C1744A" w14:textId="77777777" w:rsidR="00915B4B" w:rsidRPr="00C019B9" w:rsidRDefault="00915B4B" w:rsidP="00915B4B">
      <w:pPr>
        <w:spacing w:after="0" w:line="240" w:lineRule="auto"/>
        <w:jc w:val="both"/>
        <w:rPr>
          <w:rFonts w:ascii="Arial" w:hAnsi="Arial" w:cs="Arial"/>
        </w:rPr>
      </w:pPr>
      <w:r>
        <w:rPr>
          <w:rFonts w:ascii="Arial" w:hAnsi="Arial" w:cs="Arial"/>
        </w:rPr>
        <w:t xml:space="preserve">Our Chief Executive, Angela Hillery, </w:t>
      </w:r>
      <w:r w:rsidRPr="00C019B9">
        <w:rPr>
          <w:rFonts w:ascii="Arial" w:hAnsi="Arial" w:cs="Arial"/>
        </w:rPr>
        <w:t>has worked within the NHS for over 3</w:t>
      </w:r>
      <w:r>
        <w:rPr>
          <w:rFonts w:ascii="Arial" w:hAnsi="Arial" w:cs="Arial"/>
        </w:rPr>
        <w:t>2</w:t>
      </w:r>
      <w:r w:rsidRPr="00C019B9">
        <w:rPr>
          <w:rFonts w:ascii="Arial" w:hAnsi="Arial" w:cs="Arial"/>
        </w:rPr>
        <w:t xml:space="preserve"> years and has held a variety of leadership positions during this time</w:t>
      </w:r>
      <w:r>
        <w:rPr>
          <w:rFonts w:ascii="Arial" w:hAnsi="Arial" w:cs="Arial"/>
        </w:rPr>
        <w:t xml:space="preserve">.  </w:t>
      </w:r>
      <w:r w:rsidRPr="00C019B9">
        <w:rPr>
          <w:rFonts w:ascii="Arial" w:hAnsi="Arial" w:cs="Arial"/>
        </w:rPr>
        <w:t xml:space="preserve">Angela held the lead role for the Northamptonshire </w:t>
      </w:r>
      <w:r>
        <w:rPr>
          <w:rFonts w:ascii="Arial" w:hAnsi="Arial" w:cs="Arial"/>
        </w:rPr>
        <w:t xml:space="preserve">Healthcare Foundation Trust (NHFT) </w:t>
      </w:r>
      <w:r w:rsidRPr="00C019B9">
        <w:rPr>
          <w:rFonts w:ascii="Arial" w:hAnsi="Arial" w:cs="Arial"/>
        </w:rPr>
        <w:t xml:space="preserve">before being appointed as Chief Executive of </w:t>
      </w:r>
      <w:r>
        <w:rPr>
          <w:rFonts w:ascii="Arial" w:hAnsi="Arial" w:cs="Arial"/>
        </w:rPr>
        <w:t xml:space="preserve">LPT and now </w:t>
      </w:r>
      <w:r w:rsidRPr="00C019B9">
        <w:rPr>
          <w:rFonts w:ascii="Arial" w:hAnsi="Arial" w:cs="Arial"/>
        </w:rPr>
        <w:t>holds a combined role as Chief Executive of both organisations.</w:t>
      </w:r>
    </w:p>
    <w:p w14:paraId="089719F8" w14:textId="77777777" w:rsidR="00915B4B" w:rsidRDefault="00915B4B" w:rsidP="00915B4B">
      <w:pPr>
        <w:autoSpaceDE w:val="0"/>
        <w:autoSpaceDN w:val="0"/>
        <w:adjustRightInd w:val="0"/>
        <w:spacing w:after="0" w:line="240" w:lineRule="auto"/>
        <w:rPr>
          <w:rFonts w:ascii="Arial" w:hAnsi="Arial" w:cs="Arial"/>
        </w:rPr>
      </w:pPr>
    </w:p>
    <w:p w14:paraId="27CC05D4" w14:textId="77777777" w:rsidR="00915B4B" w:rsidRDefault="00915B4B" w:rsidP="00915B4B">
      <w:pPr>
        <w:spacing w:after="0" w:line="240" w:lineRule="auto"/>
        <w:jc w:val="both"/>
        <w:rPr>
          <w:rFonts w:ascii="Arial" w:hAnsi="Arial" w:cs="Arial"/>
        </w:rPr>
      </w:pPr>
      <w:r>
        <w:rPr>
          <w:rFonts w:ascii="Arial" w:hAnsi="Arial" w:cs="Arial"/>
        </w:rPr>
        <w:t xml:space="preserve">In 2017, </w:t>
      </w:r>
      <w:r w:rsidRPr="00C019B9">
        <w:rPr>
          <w:rFonts w:ascii="Arial" w:hAnsi="Arial" w:cs="Arial"/>
        </w:rPr>
        <w:t xml:space="preserve">2018 </w:t>
      </w:r>
      <w:r>
        <w:rPr>
          <w:rFonts w:ascii="Arial" w:hAnsi="Arial" w:cs="Arial"/>
        </w:rPr>
        <w:t xml:space="preserve">and 2021 </w:t>
      </w:r>
      <w:r w:rsidRPr="00C019B9">
        <w:rPr>
          <w:rFonts w:ascii="Arial" w:hAnsi="Arial" w:cs="Arial"/>
        </w:rPr>
        <w:t xml:space="preserve">Angela was listed in the HSJ Top 50 rated CEOs and in 2015 was a finalist for 'Chief Executive of the Year' at the HSJ Awards. </w:t>
      </w:r>
      <w:r>
        <w:rPr>
          <w:rFonts w:ascii="Arial" w:hAnsi="Arial" w:cs="Arial"/>
        </w:rPr>
        <w:t xml:space="preserve"> </w:t>
      </w:r>
      <w:r w:rsidRPr="00C019B9">
        <w:rPr>
          <w:rFonts w:ascii="Arial" w:hAnsi="Arial" w:cs="Arial"/>
        </w:rPr>
        <w:t>Angela’s ethos is in her commitment to upholding values and developing compassionate cultures for those we care for and work with.</w:t>
      </w:r>
    </w:p>
    <w:p w14:paraId="3E8DE873" w14:textId="77777777" w:rsidR="00915B4B" w:rsidRDefault="00915B4B" w:rsidP="00915B4B">
      <w:pPr>
        <w:spacing w:after="0" w:line="240" w:lineRule="auto"/>
        <w:jc w:val="both"/>
        <w:rPr>
          <w:rFonts w:ascii="Arial" w:hAnsi="Arial" w:cs="Arial"/>
        </w:rPr>
      </w:pPr>
    </w:p>
    <w:p w14:paraId="501FE50B" w14:textId="77777777" w:rsidR="00915B4B" w:rsidRDefault="00915B4B" w:rsidP="00915B4B">
      <w:pPr>
        <w:spacing w:after="0" w:line="240" w:lineRule="auto"/>
        <w:jc w:val="both"/>
        <w:rPr>
          <w:rFonts w:ascii="Arial" w:hAnsi="Arial" w:cs="Arial"/>
        </w:rPr>
      </w:pPr>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achieved an overall rating of ‘Outstanding’ from the CQC and also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72A2BA33" w14:textId="77777777" w:rsidR="00915B4B" w:rsidRPr="00C019B9" w:rsidRDefault="00915B4B" w:rsidP="00915B4B">
      <w:pPr>
        <w:autoSpaceDE w:val="0"/>
        <w:autoSpaceDN w:val="0"/>
        <w:adjustRightInd w:val="0"/>
        <w:spacing w:after="0" w:line="240" w:lineRule="auto"/>
        <w:rPr>
          <w:rFonts w:ascii="Arial" w:hAnsi="Arial" w:cs="Arial"/>
        </w:rPr>
      </w:pPr>
    </w:p>
    <w:p w14:paraId="67CE233F" w14:textId="6EBDFA96" w:rsidR="00915B4B" w:rsidRDefault="00915B4B" w:rsidP="00915B4B">
      <w:pPr>
        <w:spacing w:after="0" w:line="240" w:lineRule="auto"/>
        <w:jc w:val="both"/>
        <w:rPr>
          <w:rFonts w:ascii="Arial" w:hAnsi="Arial" w:cs="Arial"/>
        </w:rPr>
      </w:pPr>
      <w:r>
        <w:rPr>
          <w:rFonts w:ascii="Arial" w:hAnsi="Arial" w:cs="Arial"/>
        </w:rPr>
        <w:t xml:space="preserve">As an employee of Leicestershire Partnership NHS Trust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w:t>
      </w:r>
      <w:r>
        <w:rPr>
          <w:rFonts w:ascii="Arial" w:hAnsi="Arial" w:cs="Arial"/>
        </w:rPr>
        <w:lastRenderedPageBreak/>
        <w:t>for new Consultants, recognition awards for exceptional commitment and long service, corporate discounts for gym membership, health spa and much more.</w:t>
      </w:r>
    </w:p>
    <w:p w14:paraId="212E0B14" w14:textId="59085B79" w:rsidR="00AB5EA5" w:rsidRDefault="00AB5EA5" w:rsidP="00915B4B">
      <w:pPr>
        <w:spacing w:line="240" w:lineRule="auto"/>
        <w:jc w:val="both"/>
        <w:rPr>
          <w:rFonts w:ascii="Arial" w:hAnsi="Arial" w:cs="Arial"/>
        </w:rPr>
      </w:pP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584004C4" w14:textId="77777777" w:rsidR="003265B8" w:rsidRDefault="003265B8" w:rsidP="000A563E">
      <w:pPr>
        <w:spacing w:after="0" w:line="240" w:lineRule="auto"/>
        <w:rPr>
          <w:rFonts w:ascii="Arial" w:hAnsi="Arial" w:cs="Arial"/>
          <w:b/>
        </w:rPr>
      </w:pPr>
    </w:p>
    <w:p w14:paraId="2B03C83E" w14:textId="77777777" w:rsidR="008E1D15" w:rsidRDefault="008E1D15" w:rsidP="000A563E">
      <w:pPr>
        <w:spacing w:after="0" w:line="240" w:lineRule="auto"/>
        <w:rPr>
          <w:rFonts w:ascii="Arial" w:hAnsi="Arial" w:cs="Arial"/>
          <w:b/>
        </w:rPr>
      </w:pPr>
    </w:p>
    <w:p w14:paraId="527A8201" w14:textId="2CC53281" w:rsidR="008864E2" w:rsidRDefault="008864E2">
      <w:pPr>
        <w:rPr>
          <w:rFonts w:ascii="Arial" w:hAnsi="Arial" w:cs="Arial"/>
          <w:b/>
        </w:rPr>
      </w:pPr>
    </w:p>
    <w:p w14:paraId="4B25C1B9" w14:textId="796FD63B" w:rsidR="006332C6" w:rsidRPr="000C115D" w:rsidRDefault="00A23E7A" w:rsidP="000A563E">
      <w:pPr>
        <w:spacing w:after="0" w:line="240" w:lineRule="auto"/>
        <w:rPr>
          <w:rFonts w:ascii="Arial" w:hAnsi="Arial" w:cs="Arial"/>
        </w:rPr>
      </w:pPr>
      <w:r w:rsidRPr="000C115D">
        <w:rPr>
          <w:rFonts w:ascii="Arial" w:hAnsi="Arial" w:cs="Arial"/>
          <w:b/>
        </w:rPr>
        <w:t>3.</w:t>
      </w:r>
      <w:r w:rsidRPr="000C115D">
        <w:rPr>
          <w:rFonts w:ascii="Arial" w:hAnsi="Arial" w:cs="Arial"/>
          <w:b/>
        </w:rPr>
        <w:tab/>
      </w:r>
      <w:r w:rsidR="008E1D15">
        <w:rPr>
          <w:rFonts w:ascii="Arial" w:hAnsi="Arial" w:cs="Arial"/>
          <w:b/>
          <w:u w:val="single"/>
        </w:rPr>
        <w:t>Details of the service and team</w:t>
      </w:r>
    </w:p>
    <w:p w14:paraId="0285AFD3" w14:textId="77777777" w:rsidR="006332C6" w:rsidRPr="000C115D" w:rsidRDefault="006332C6" w:rsidP="000A563E">
      <w:pPr>
        <w:spacing w:after="0" w:line="240" w:lineRule="auto"/>
        <w:rPr>
          <w:rFonts w:ascii="Arial" w:hAnsi="Arial" w:cs="Arial"/>
        </w:rPr>
      </w:pPr>
    </w:p>
    <w:p w14:paraId="04F07812" w14:textId="0DB5689A" w:rsidR="00587699" w:rsidRDefault="00587699" w:rsidP="00587699">
      <w:pPr>
        <w:spacing w:after="0" w:line="240" w:lineRule="auto"/>
        <w:jc w:val="both"/>
        <w:rPr>
          <w:rFonts w:ascii="Arial" w:eastAsia="Times New Roman" w:hAnsi="Arial" w:cs="Arial"/>
        </w:rPr>
      </w:pPr>
      <w:r w:rsidRPr="00280B65">
        <w:rPr>
          <w:rFonts w:ascii="Arial" w:eastAsia="Times New Roman" w:hAnsi="Arial" w:cs="Arial"/>
        </w:rPr>
        <w:t>This appointment is for the post of a</w:t>
      </w:r>
      <w:r>
        <w:rPr>
          <w:rFonts w:ascii="Arial" w:eastAsia="Times New Roman" w:hAnsi="Arial" w:cs="Arial"/>
        </w:rPr>
        <w:t xml:space="preserve"> full-time (10 Programmed Activities</w:t>
      </w:r>
      <w:r w:rsidRPr="00280B65">
        <w:rPr>
          <w:rFonts w:ascii="Arial" w:eastAsia="Times New Roman" w:hAnsi="Arial" w:cs="Arial"/>
        </w:rPr>
        <w:t xml:space="preserve">) Consultant in General </w:t>
      </w:r>
      <w:r>
        <w:rPr>
          <w:rFonts w:ascii="Arial" w:eastAsia="Times New Roman" w:hAnsi="Arial" w:cs="Arial"/>
        </w:rPr>
        <w:t xml:space="preserve">Adult </w:t>
      </w:r>
      <w:r w:rsidRPr="00280B65">
        <w:rPr>
          <w:rFonts w:ascii="Arial" w:eastAsia="Times New Roman" w:hAnsi="Arial" w:cs="Arial"/>
        </w:rPr>
        <w:t>Psychiatry</w:t>
      </w:r>
      <w:r>
        <w:rPr>
          <w:rFonts w:ascii="Arial" w:eastAsia="Times New Roman" w:hAnsi="Arial" w:cs="Arial"/>
        </w:rPr>
        <w:t xml:space="preserve"> </w:t>
      </w:r>
      <w:r w:rsidR="002F3A0F">
        <w:rPr>
          <w:rFonts w:ascii="Arial" w:eastAsia="Times New Roman" w:hAnsi="Arial" w:cs="Arial"/>
        </w:rPr>
        <w:t>and the post holder will be based at Bradgate Mental Health Unit, Groby Road, Leicester.</w:t>
      </w:r>
      <w:r>
        <w:rPr>
          <w:rFonts w:ascii="Arial" w:eastAsia="Times New Roman" w:hAnsi="Arial" w:cs="Arial"/>
        </w:rPr>
        <w:t xml:space="preserve">  </w:t>
      </w:r>
    </w:p>
    <w:p w14:paraId="183AEFC8" w14:textId="77777777" w:rsidR="00587699" w:rsidRDefault="00587699" w:rsidP="00587699">
      <w:pPr>
        <w:spacing w:after="0" w:line="240" w:lineRule="auto"/>
        <w:jc w:val="both"/>
        <w:rPr>
          <w:rFonts w:ascii="Arial" w:eastAsia="Times New Roman" w:hAnsi="Arial" w:cs="Arial"/>
          <w:color w:val="000000"/>
        </w:rPr>
      </w:pPr>
    </w:p>
    <w:p w14:paraId="4DD34254" w14:textId="7047C5AB" w:rsidR="00E51887" w:rsidRPr="001A2A26" w:rsidRDefault="00E51887" w:rsidP="00E51887">
      <w:pPr>
        <w:spacing w:after="0" w:line="240" w:lineRule="auto"/>
        <w:jc w:val="both"/>
        <w:rPr>
          <w:rFonts w:ascii="Arial" w:eastAsia="Times New Roman" w:hAnsi="Arial" w:cs="Arial"/>
          <w:bCs/>
          <w:color w:val="000000"/>
        </w:rPr>
      </w:pPr>
      <w:r w:rsidRPr="001A2A26">
        <w:rPr>
          <w:rFonts w:ascii="Arial" w:eastAsia="Times New Roman" w:hAnsi="Arial" w:cs="Arial"/>
          <w:bCs/>
          <w:color w:val="000000"/>
        </w:rPr>
        <w:t xml:space="preserve">Clinical responsibilities of the post holder are with the LPT Crisis Resolution and Home Treatment Service, with flexible working as needed to support the </w:t>
      </w:r>
      <w:r w:rsidR="005762E7">
        <w:rPr>
          <w:rFonts w:ascii="Arial" w:eastAsia="Times New Roman" w:hAnsi="Arial" w:cs="Arial"/>
          <w:bCs/>
          <w:color w:val="000000"/>
        </w:rPr>
        <w:t xml:space="preserve">Mental Health Hub and Central Access Point. </w:t>
      </w:r>
    </w:p>
    <w:p w14:paraId="3CA47B70" w14:textId="77777777" w:rsidR="00E51887" w:rsidRPr="001A2A26" w:rsidRDefault="00E51887" w:rsidP="00E51887">
      <w:pPr>
        <w:spacing w:after="0" w:line="240" w:lineRule="auto"/>
        <w:jc w:val="both"/>
        <w:rPr>
          <w:rFonts w:ascii="Arial" w:eastAsia="Times New Roman" w:hAnsi="Arial" w:cs="Arial"/>
        </w:rPr>
      </w:pPr>
    </w:p>
    <w:p w14:paraId="0D20593F" w14:textId="77777777" w:rsidR="00E51887" w:rsidRPr="001A2A26" w:rsidRDefault="00E51887" w:rsidP="00E51887">
      <w:pPr>
        <w:spacing w:after="0" w:line="240" w:lineRule="auto"/>
        <w:jc w:val="both"/>
        <w:rPr>
          <w:rFonts w:ascii="Arial" w:eastAsia="Times New Roman" w:hAnsi="Arial" w:cs="Arial"/>
          <w:b/>
          <w:bCs/>
          <w:color w:val="000000"/>
        </w:rPr>
      </w:pPr>
      <w:r w:rsidRPr="001A2A26">
        <w:rPr>
          <w:rFonts w:ascii="Arial" w:eastAsia="Times New Roman" w:hAnsi="Arial" w:cs="Arial"/>
          <w:b/>
          <w:bCs/>
          <w:color w:val="000000"/>
        </w:rPr>
        <w:t>Crisis Resolution and Home Treatment Teams</w:t>
      </w:r>
    </w:p>
    <w:p w14:paraId="2D0C8C65" w14:textId="77777777" w:rsidR="00E51887" w:rsidRPr="001A2A26" w:rsidRDefault="00E51887" w:rsidP="00E51887">
      <w:pPr>
        <w:spacing w:after="0" w:line="240" w:lineRule="auto"/>
        <w:ind w:left="720"/>
        <w:jc w:val="both"/>
        <w:rPr>
          <w:rFonts w:ascii="Arial" w:eastAsia="Times New Roman" w:hAnsi="Arial" w:cs="Arial"/>
          <w:b/>
          <w:bCs/>
          <w:color w:val="000000"/>
        </w:rPr>
      </w:pPr>
    </w:p>
    <w:p w14:paraId="5572D59B" w14:textId="50DEBC75" w:rsidR="00E51887" w:rsidRPr="001A2A26" w:rsidRDefault="00E51887" w:rsidP="00E51887">
      <w:pPr>
        <w:spacing w:after="0" w:line="240" w:lineRule="auto"/>
        <w:jc w:val="both"/>
        <w:rPr>
          <w:rFonts w:ascii="Arial" w:eastAsia="Times New Roman" w:hAnsi="Arial" w:cs="Times New Roman"/>
          <w:szCs w:val="20"/>
        </w:rPr>
      </w:pPr>
      <w:r w:rsidRPr="001A2A26">
        <w:rPr>
          <w:rFonts w:ascii="Arial" w:eastAsia="Times New Roman" w:hAnsi="Arial" w:cs="Times New Roman"/>
          <w:szCs w:val="20"/>
        </w:rPr>
        <w:t>The Crisis Resolution and Home Treatment Team (CRHT) provides a service aimed at Adults (1</w:t>
      </w:r>
      <w:r w:rsidR="00A40423">
        <w:rPr>
          <w:rFonts w:ascii="Arial" w:eastAsia="Times New Roman" w:hAnsi="Arial" w:cs="Times New Roman"/>
          <w:szCs w:val="20"/>
        </w:rPr>
        <w:t>8</w:t>
      </w:r>
      <w:r w:rsidRPr="001A2A26">
        <w:rPr>
          <w:rFonts w:ascii="Arial" w:eastAsia="Times New Roman" w:hAnsi="Arial" w:cs="Times New Roman"/>
          <w:szCs w:val="20"/>
        </w:rPr>
        <w:t xml:space="preserve"> &amp; over) who are experiencing a severe mental health problem with an acute psychiatric crisis that without the involvement of a crisis resolution/home treatment team, hospitalisation would be necessary.  The team provides rapid assessment and a range of psychotherapeutic </w:t>
      </w:r>
      <w:r w:rsidRPr="001A2A26">
        <w:rPr>
          <w:rFonts w:ascii="Arial" w:eastAsia="Times New Roman" w:hAnsi="Arial" w:cs="Times New Roman"/>
          <w:szCs w:val="20"/>
        </w:rPr>
        <w:lastRenderedPageBreak/>
        <w:t>interventions as an alternative to in-patient care, based on the philosophy of recovery; promoting health; coping strategies, self-empowerment and self-management in the patient, not just illness.  The CRHT service covers the areas of Leicester, Leicestershire and Rutland, the city by one sub team and the county areas being covered by two other sub teams.</w:t>
      </w:r>
    </w:p>
    <w:p w14:paraId="3179901F" w14:textId="77777777" w:rsidR="00E51887" w:rsidRPr="001A2A26" w:rsidRDefault="00E51887" w:rsidP="00E51887">
      <w:pPr>
        <w:spacing w:after="0" w:line="240" w:lineRule="auto"/>
        <w:jc w:val="both"/>
        <w:rPr>
          <w:rFonts w:ascii="Arial" w:eastAsia="Times New Roman" w:hAnsi="Arial" w:cs="Times New Roman"/>
          <w:szCs w:val="20"/>
        </w:rPr>
      </w:pPr>
    </w:p>
    <w:p w14:paraId="1F9AD5EC" w14:textId="77777777" w:rsidR="00E51887" w:rsidRPr="001A2A26" w:rsidRDefault="00E51887" w:rsidP="00E51887">
      <w:pPr>
        <w:spacing w:after="0" w:line="240" w:lineRule="auto"/>
        <w:jc w:val="both"/>
        <w:rPr>
          <w:rFonts w:ascii="Arial" w:eastAsia="Times New Roman" w:hAnsi="Arial" w:cs="Times New Roman"/>
          <w:szCs w:val="20"/>
        </w:rPr>
      </w:pPr>
      <w:r w:rsidRPr="001A2A26">
        <w:rPr>
          <w:rFonts w:ascii="Arial" w:eastAsia="Times New Roman" w:hAnsi="Arial" w:cs="Times New Roman"/>
          <w:szCs w:val="20"/>
        </w:rPr>
        <w:t>The Service operates 24 hours per day, 365 days per year and screens all referrals where admission is being considered, to ascertain if home treatment is viable.  The nature of such treatment is relatively short-term (up to 6 weeks or until the crisis has resolved and further support networks identified) and provides intensive intervention and support in the early stages of the crisis.</w:t>
      </w:r>
    </w:p>
    <w:p w14:paraId="120D7E5A" w14:textId="77777777" w:rsidR="00E51887" w:rsidRPr="001A2A26" w:rsidRDefault="00E51887" w:rsidP="00E51887">
      <w:pPr>
        <w:spacing w:after="0" w:line="240" w:lineRule="auto"/>
        <w:ind w:left="720"/>
        <w:jc w:val="both"/>
        <w:rPr>
          <w:rFonts w:ascii="Arial" w:eastAsia="Times New Roman" w:hAnsi="Arial" w:cs="Times New Roman"/>
          <w:szCs w:val="20"/>
        </w:rPr>
      </w:pPr>
    </w:p>
    <w:p w14:paraId="2AB4FE57" w14:textId="77777777" w:rsidR="00E51887" w:rsidRPr="001A2A26" w:rsidRDefault="00E51887" w:rsidP="00E51887">
      <w:pPr>
        <w:spacing w:after="0" w:line="240" w:lineRule="auto"/>
        <w:jc w:val="both"/>
        <w:rPr>
          <w:rFonts w:ascii="Arial" w:eastAsia="Times New Roman" w:hAnsi="Arial" w:cs="Times New Roman"/>
          <w:szCs w:val="20"/>
        </w:rPr>
      </w:pPr>
      <w:r w:rsidRPr="001A2A26">
        <w:rPr>
          <w:rFonts w:ascii="Arial" w:eastAsia="Times New Roman" w:hAnsi="Arial" w:cs="Times New Roman"/>
          <w:szCs w:val="20"/>
        </w:rPr>
        <w:t xml:space="preserve">Referrals are accepted from the Primary Care Team, Accident and Emergency, Community Mental Health Teams, Deliberate Self-Harm Team, Assertive Outreach Team, Early Intervention Team, Social Services, The Police, Treatment and Recovery Services and the Voluntary Sector.  </w:t>
      </w:r>
    </w:p>
    <w:p w14:paraId="7C8E198E" w14:textId="77777777" w:rsidR="00E51887" w:rsidRPr="001A2A26" w:rsidRDefault="00E51887" w:rsidP="00E51887">
      <w:pPr>
        <w:spacing w:after="0" w:line="240" w:lineRule="auto"/>
        <w:ind w:left="720"/>
        <w:jc w:val="both"/>
        <w:rPr>
          <w:rFonts w:ascii="Arial" w:eastAsia="Times New Roman" w:hAnsi="Arial" w:cs="Times New Roman"/>
          <w:szCs w:val="20"/>
        </w:rPr>
      </w:pPr>
    </w:p>
    <w:p w14:paraId="72776780" w14:textId="77777777" w:rsidR="00E51887" w:rsidRPr="001A2A26" w:rsidRDefault="00E51887" w:rsidP="00E51887">
      <w:pPr>
        <w:spacing w:after="0" w:line="240" w:lineRule="auto"/>
        <w:jc w:val="both"/>
        <w:rPr>
          <w:rFonts w:ascii="Arial" w:eastAsia="Times New Roman" w:hAnsi="Arial" w:cs="Times New Roman"/>
          <w:szCs w:val="20"/>
        </w:rPr>
      </w:pPr>
      <w:r w:rsidRPr="001A2A26">
        <w:rPr>
          <w:rFonts w:ascii="Arial" w:eastAsia="Times New Roman" w:hAnsi="Arial" w:cs="Times New Roman"/>
          <w:szCs w:val="20"/>
        </w:rPr>
        <w:t>Those patients meeting the Team’s criteria will be assessed and follow up organised which could include home treatment, admission or transfer to a relevant agency.  The aim of the Crisis Service is to simplify and improve access to patients and professionals alike, who are involved in psychiatric crisis and to provide an assessment and treatment service in the least restrictive environment and with the minimum of disruption to the patient’s life.  The full participation of the patient, their carer/family will be actively encouraged in the planning of care and the Care Plan.</w:t>
      </w:r>
    </w:p>
    <w:p w14:paraId="69CA90B5" w14:textId="77777777" w:rsidR="00E51887" w:rsidRPr="001A2A26" w:rsidRDefault="00E51887" w:rsidP="00E51887">
      <w:pPr>
        <w:spacing w:after="0" w:line="240" w:lineRule="auto"/>
        <w:ind w:left="720"/>
        <w:rPr>
          <w:rFonts w:ascii="Arial" w:eastAsia="Times New Roman" w:hAnsi="Arial" w:cs="Times New Roman"/>
          <w:szCs w:val="20"/>
        </w:rPr>
      </w:pPr>
    </w:p>
    <w:p w14:paraId="1B1E6FA9" w14:textId="77777777" w:rsidR="00E51887" w:rsidRPr="001A2A26" w:rsidRDefault="00E51887" w:rsidP="00E51887">
      <w:pPr>
        <w:spacing w:after="0" w:line="240" w:lineRule="auto"/>
        <w:rPr>
          <w:rFonts w:ascii="Arial" w:eastAsia="Times New Roman" w:hAnsi="Arial" w:cs="Times New Roman"/>
          <w:szCs w:val="20"/>
        </w:rPr>
      </w:pPr>
      <w:r w:rsidRPr="001A2A26">
        <w:rPr>
          <w:rFonts w:ascii="Arial" w:eastAsia="Times New Roman" w:hAnsi="Arial" w:cs="Times New Roman"/>
          <w:szCs w:val="20"/>
        </w:rPr>
        <w:t>Staffing within the team is currently as follows:</w:t>
      </w:r>
    </w:p>
    <w:p w14:paraId="79AE5C31" w14:textId="77777777" w:rsidR="00E51887" w:rsidRPr="008B6285" w:rsidRDefault="00E51887" w:rsidP="00E51887">
      <w:pPr>
        <w:spacing w:after="0" w:line="240" w:lineRule="auto"/>
        <w:rPr>
          <w:rFonts w:ascii="Arial" w:eastAsia="Times New Roman" w:hAnsi="Arial" w:cs="Times New Roman"/>
          <w:szCs w:val="20"/>
          <w:highlight w:val="yellow"/>
        </w:rPr>
      </w:pPr>
    </w:p>
    <w:p w14:paraId="6F9CE573" w14:textId="441F993A" w:rsidR="00E51887" w:rsidRDefault="00E51887" w:rsidP="00FD4A37">
      <w:pPr>
        <w:spacing w:after="0" w:line="240" w:lineRule="auto"/>
        <w:ind w:left="720"/>
        <w:rPr>
          <w:rFonts w:ascii="Arial" w:eastAsia="Times New Roman" w:hAnsi="Arial" w:cs="Times New Roman"/>
          <w:szCs w:val="20"/>
          <w:highlight w:val="yellow"/>
        </w:rPr>
      </w:pPr>
    </w:p>
    <w:p w14:paraId="61CC0CD1" w14:textId="1B69EAFA" w:rsidR="00063F93" w:rsidRPr="005762E7" w:rsidRDefault="005762E7" w:rsidP="005762E7">
      <w:pPr>
        <w:pStyle w:val="ListParagraph"/>
        <w:numPr>
          <w:ilvl w:val="0"/>
          <w:numId w:val="34"/>
        </w:numPr>
        <w:spacing w:after="0" w:line="240" w:lineRule="auto"/>
        <w:rPr>
          <w:rFonts w:ascii="Arial" w:hAnsi="Arial" w:cs="Arial"/>
        </w:rPr>
      </w:pPr>
      <w:bookmarkStart w:id="0" w:name="_Hlk177481073"/>
      <w:r>
        <w:rPr>
          <w:rFonts w:ascii="Arial" w:hAnsi="Arial" w:cs="Arial"/>
        </w:rPr>
        <w:t>4</w:t>
      </w:r>
      <w:r w:rsidR="00FD4A37" w:rsidRPr="00AB5EA5">
        <w:rPr>
          <w:rFonts w:ascii="Arial" w:hAnsi="Arial" w:cs="Arial"/>
        </w:rPr>
        <w:t xml:space="preserve"> consultants</w:t>
      </w:r>
      <w:r>
        <w:rPr>
          <w:rFonts w:ascii="Arial" w:hAnsi="Arial" w:cs="Arial"/>
        </w:rPr>
        <w:t xml:space="preserve"> (1 post vacant)</w:t>
      </w:r>
    </w:p>
    <w:p w14:paraId="1482920E" w14:textId="5B2779D0" w:rsidR="005762E7" w:rsidRPr="00A40423" w:rsidRDefault="00A40423" w:rsidP="00A40423">
      <w:pPr>
        <w:pStyle w:val="ListParagraph"/>
        <w:numPr>
          <w:ilvl w:val="0"/>
          <w:numId w:val="34"/>
        </w:numPr>
        <w:spacing w:after="0" w:line="240" w:lineRule="auto"/>
        <w:rPr>
          <w:rFonts w:ascii="Arial" w:hAnsi="Arial" w:cs="Arial"/>
        </w:rPr>
      </w:pPr>
      <w:r>
        <w:rPr>
          <w:rFonts w:ascii="Arial" w:hAnsi="Arial" w:cs="Arial"/>
        </w:rPr>
        <w:t>2</w:t>
      </w:r>
      <w:r w:rsidR="00FD4A37" w:rsidRPr="00AB5EA5">
        <w:rPr>
          <w:rFonts w:ascii="Arial" w:hAnsi="Arial" w:cs="Arial"/>
        </w:rPr>
        <w:t xml:space="preserve"> staff  grade doctor</w:t>
      </w:r>
      <w:r>
        <w:rPr>
          <w:rFonts w:ascii="Arial" w:hAnsi="Arial" w:cs="Arial"/>
        </w:rPr>
        <w:t>s</w:t>
      </w:r>
    </w:p>
    <w:p w14:paraId="356019A1" w14:textId="5FA052FE"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 xml:space="preserve">Trainee doctors including 1 GP trainee and 1 ST trainee  </w:t>
      </w:r>
    </w:p>
    <w:p w14:paraId="20F05E39" w14:textId="2ECE6465"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1 x B8a Team Manager</w:t>
      </w:r>
    </w:p>
    <w:p w14:paraId="405B7DF5" w14:textId="77777777"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1x B8a Advanced Clinical Practitioner</w:t>
      </w:r>
    </w:p>
    <w:p w14:paraId="10FC0443" w14:textId="77777777"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5 x B7 Team Leader</w:t>
      </w:r>
    </w:p>
    <w:p w14:paraId="2F3C332A" w14:textId="77777777"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35 x B6/B5 Mental Health Practitioners</w:t>
      </w:r>
    </w:p>
    <w:p w14:paraId="3383AE45" w14:textId="0B46205D"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29 X B3 Acute Recovery Workers</w:t>
      </w:r>
    </w:p>
    <w:p w14:paraId="1C543E8B" w14:textId="7E7C7BA8" w:rsidR="00FD4A37" w:rsidRDefault="00FD4A37" w:rsidP="00AB5EA5">
      <w:pPr>
        <w:pStyle w:val="ListParagraph"/>
        <w:numPr>
          <w:ilvl w:val="0"/>
          <w:numId w:val="34"/>
        </w:numPr>
        <w:spacing w:after="0" w:line="240" w:lineRule="auto"/>
        <w:rPr>
          <w:rFonts w:ascii="Arial" w:hAnsi="Arial" w:cs="Arial"/>
        </w:rPr>
      </w:pPr>
      <w:r w:rsidRPr="00AB5EA5">
        <w:rPr>
          <w:rFonts w:ascii="Arial" w:hAnsi="Arial" w:cs="Arial"/>
        </w:rPr>
        <w:t>1 pharmacist</w:t>
      </w:r>
    </w:p>
    <w:p w14:paraId="1606506E" w14:textId="70F191BF" w:rsidR="005762E7" w:rsidRPr="00AB5EA5" w:rsidRDefault="005762E7" w:rsidP="00AB5EA5">
      <w:pPr>
        <w:pStyle w:val="ListParagraph"/>
        <w:numPr>
          <w:ilvl w:val="0"/>
          <w:numId w:val="34"/>
        </w:numPr>
        <w:spacing w:after="0" w:line="240" w:lineRule="auto"/>
        <w:rPr>
          <w:rFonts w:ascii="Arial" w:hAnsi="Arial" w:cs="Arial"/>
        </w:rPr>
      </w:pPr>
      <w:r>
        <w:rPr>
          <w:rFonts w:ascii="Arial" w:hAnsi="Arial" w:cs="Arial"/>
        </w:rPr>
        <w:t>2 pharmacy technicians</w:t>
      </w:r>
    </w:p>
    <w:p w14:paraId="5FE62055" w14:textId="5DF8FBD5" w:rsidR="00FD4A37" w:rsidRPr="00AB5EA5" w:rsidRDefault="00FD4A37" w:rsidP="00AB5EA5">
      <w:pPr>
        <w:pStyle w:val="ListParagraph"/>
        <w:numPr>
          <w:ilvl w:val="0"/>
          <w:numId w:val="34"/>
        </w:numPr>
        <w:spacing w:after="0" w:line="240" w:lineRule="auto"/>
        <w:rPr>
          <w:rFonts w:ascii="Arial" w:hAnsi="Arial" w:cs="Arial"/>
        </w:rPr>
      </w:pPr>
      <w:r w:rsidRPr="00AB5EA5">
        <w:rPr>
          <w:rFonts w:ascii="Arial" w:hAnsi="Arial" w:cs="Arial"/>
        </w:rPr>
        <w:t>1 psychologist</w:t>
      </w:r>
    </w:p>
    <w:bookmarkEnd w:id="0"/>
    <w:p w14:paraId="255BFEA4" w14:textId="5544AE52" w:rsidR="0089259F" w:rsidRDefault="0089259F" w:rsidP="0089259F">
      <w:pPr>
        <w:spacing w:after="0" w:line="240" w:lineRule="auto"/>
        <w:jc w:val="both"/>
        <w:rPr>
          <w:rFonts w:ascii="Arial" w:eastAsia="Times New Roman" w:hAnsi="Arial" w:cs="Arial"/>
          <w:b/>
          <w:color w:val="FF0000"/>
        </w:rPr>
      </w:pPr>
    </w:p>
    <w:p w14:paraId="46E06A56" w14:textId="61B8664D" w:rsidR="0089259F" w:rsidRPr="0089259F" w:rsidRDefault="0089259F" w:rsidP="0089259F">
      <w:pPr>
        <w:spacing w:after="0" w:line="240" w:lineRule="auto"/>
        <w:jc w:val="both"/>
        <w:rPr>
          <w:rFonts w:ascii="Arial" w:eastAsia="Times New Roman" w:hAnsi="Arial" w:cs="Arial"/>
          <w:bCs/>
        </w:rPr>
      </w:pPr>
      <w:r w:rsidRPr="001A2A26">
        <w:rPr>
          <w:rFonts w:ascii="Arial" w:eastAsia="Times New Roman" w:hAnsi="Arial" w:cs="Arial"/>
          <w:bCs/>
        </w:rPr>
        <w:t>The service is for adults aged 18 and over who, without this service would require hospital admission to an acute mental health ward, due to mental health crisis which impacts on the person’s ability to cope with day-do-day activities.</w:t>
      </w:r>
    </w:p>
    <w:p w14:paraId="650E551A" w14:textId="77777777" w:rsidR="002F3A0F" w:rsidRDefault="002F3A0F" w:rsidP="00587699">
      <w:pPr>
        <w:spacing w:after="0" w:line="240" w:lineRule="auto"/>
        <w:contextualSpacing/>
        <w:jc w:val="both"/>
        <w:outlineLvl w:val="0"/>
        <w:rPr>
          <w:rFonts w:ascii="Arial" w:eastAsia="Arial Unicode MS" w:hAnsi="Arial" w:cs="Arial"/>
          <w:szCs w:val="20"/>
        </w:rPr>
      </w:pPr>
    </w:p>
    <w:p w14:paraId="0FFEA0A1" w14:textId="77777777" w:rsidR="00587699" w:rsidRDefault="00587699" w:rsidP="00587699">
      <w:pPr>
        <w:spacing w:after="0" w:line="240" w:lineRule="auto"/>
        <w:jc w:val="both"/>
        <w:rPr>
          <w:rFonts w:ascii="Arial" w:eastAsia="Times New Roman" w:hAnsi="Arial Unicode MS" w:cs="Times New Roman"/>
          <w:szCs w:val="20"/>
        </w:rPr>
      </w:pPr>
    </w:p>
    <w:p w14:paraId="7E502025" w14:textId="77777777" w:rsidR="006332C6" w:rsidRPr="006332C6" w:rsidRDefault="006332C6" w:rsidP="006332C6">
      <w:pPr>
        <w:spacing w:after="0" w:line="240" w:lineRule="auto"/>
        <w:ind w:left="720"/>
        <w:jc w:val="both"/>
        <w:rPr>
          <w:rFonts w:ascii="Arial" w:eastAsia="Times New Roman" w:hAnsi="Arial" w:cs="Arial"/>
          <w:b/>
          <w:color w:val="FF0000"/>
        </w:rPr>
      </w:pPr>
    </w:p>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2286AFD3" w14:textId="77777777"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 responsible for the Consultant's agreed area.</w:t>
      </w:r>
    </w:p>
    <w:p w14:paraId="2413F191"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lastRenderedPageBreak/>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6FF601EE"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appointee will be responsible with consultant and other professional colleagues for the provision of a comprehensive </w:t>
      </w:r>
      <w:r w:rsidR="00587699">
        <w:rPr>
          <w:rFonts w:ascii="Arial" w:eastAsia="Times New Roman" w:hAnsi="Arial" w:cs="Arial"/>
          <w:lang w:eastAsia="en-GB"/>
        </w:rPr>
        <w:t xml:space="preserve">General Psychiatry </w:t>
      </w:r>
      <w:r w:rsidRPr="000C115D">
        <w:rPr>
          <w:rFonts w:ascii="Arial" w:eastAsia="Times New Roman" w:hAnsi="Arial" w:cs="Arial"/>
          <w:lang w:eastAsia="en-GB"/>
        </w:rPr>
        <w:t>service to the district.</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7F89E9D3" w14:textId="7421173C"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 xml:space="preserve">The </w:t>
      </w:r>
      <w:r w:rsidRPr="00587699">
        <w:rPr>
          <w:rFonts w:ascii="Arial" w:eastAsia="Times New Roman" w:hAnsi="Arial" w:cs="Arial"/>
          <w:lang w:eastAsia="en-GB"/>
        </w:rPr>
        <w:t xml:space="preserve">post holder, who needs to be Section 12 approved under the Mental Health Act, will join the consultant non resident on-call rota which works on a third on call basis </w:t>
      </w:r>
      <w:r w:rsidRPr="000C115D">
        <w:rPr>
          <w:rFonts w:ascii="Arial" w:eastAsia="Times New Roman" w:hAnsi="Arial" w:cs="Arial"/>
          <w:lang w:eastAsia="en-GB"/>
        </w:rPr>
        <w:t xml:space="preserve">at the frequency of </w:t>
      </w:r>
      <w:r w:rsidR="00587699">
        <w:rPr>
          <w:rFonts w:ascii="Arial" w:eastAsia="Times New Roman" w:hAnsi="Arial" w:cs="Arial"/>
          <w:lang w:eastAsia="en-GB"/>
        </w:rPr>
        <w:t xml:space="preserve">less than </w:t>
      </w:r>
      <w:r w:rsidRPr="000C115D">
        <w:rPr>
          <w:rFonts w:ascii="Arial" w:eastAsia="Times New Roman" w:hAnsi="Arial" w:cs="Arial"/>
          <w:lang w:eastAsia="en-GB"/>
        </w:rPr>
        <w:t xml:space="preserve">a one in </w:t>
      </w:r>
      <w:r w:rsidR="00587699">
        <w:rPr>
          <w:rFonts w:ascii="Arial" w:eastAsia="Times New Roman" w:hAnsi="Arial" w:cs="Arial"/>
          <w:lang w:eastAsia="en-GB"/>
        </w:rPr>
        <w:t>thirteen.</w:t>
      </w:r>
      <w:r w:rsidRPr="000C115D">
        <w:rPr>
          <w:rFonts w:ascii="Arial" w:eastAsia="Times New Roman" w:hAnsi="Arial" w:cs="Arial"/>
          <w:lang w:eastAsia="en-GB"/>
        </w:rPr>
        <w:t xml:space="preserve"> On Call duties are from 9am to 9am on weekdays and 9am 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215D4E61"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w:t>
      </w:r>
      <w:r w:rsidR="00A40423">
        <w:rPr>
          <w:rFonts w:ascii="Arial" w:eastAsia="Times New Roman" w:hAnsi="Arial" w:cs="Arial"/>
          <w:lang w:eastAsia="en-GB"/>
        </w:rPr>
        <w:t xml:space="preserve"> </w:t>
      </w:r>
      <w:r w:rsidRPr="000C115D">
        <w:rPr>
          <w:rFonts w:ascii="Arial" w:eastAsia="Times New Roman" w:hAnsi="Arial" w:cs="Arial"/>
          <w:lang w:eastAsia="en-GB"/>
        </w:rPr>
        <w:t>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1F3698C9" w14:textId="46EF9B1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be responsible for offering expert advice on clinical issues, together with the maintenance of </w:t>
      </w:r>
      <w:r w:rsidR="00A40423" w:rsidRPr="000C115D">
        <w:rPr>
          <w:rFonts w:ascii="Arial" w:eastAsia="Times New Roman" w:hAnsi="Arial" w:cs="Arial"/>
          <w:lang w:eastAsia="en-GB"/>
        </w:rPr>
        <w:t>long-term</w:t>
      </w:r>
      <w:r w:rsidRPr="000C115D">
        <w:rPr>
          <w:rFonts w:ascii="Arial" w:eastAsia="Times New Roman" w:hAnsi="Arial" w:cs="Arial"/>
          <w:lang w:eastAsia="en-GB"/>
        </w:rPr>
        <w:t xml:space="preserve"> case work with individual patients if this is appropriate</w:t>
      </w:r>
    </w:p>
    <w:p w14:paraId="0C9007F4"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5137D4F" w14:textId="77777777" w:rsidR="006332C6" w:rsidRPr="000C115D" w:rsidRDefault="006332C6" w:rsidP="000A563E">
      <w:pPr>
        <w:spacing w:after="0" w:line="240" w:lineRule="auto"/>
        <w:rPr>
          <w:rFonts w:ascii="Arial" w:eastAsia="Times New Roman" w:hAnsi="Arial" w:cs="Arial"/>
        </w:rPr>
      </w:pP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3DA4B96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014D2E">
        <w:rPr>
          <w:rFonts w:ascii="Arial" w:eastAsia="Times New Roman" w:hAnsi="Arial" w:cs="Arial"/>
          <w:color w:val="000000"/>
          <w:lang w:eastAsia="en-GB"/>
        </w:rPr>
        <w:t>Clinical</w:t>
      </w:r>
      <w:r w:rsidRPr="00A23E7A">
        <w:rPr>
          <w:rFonts w:ascii="Arial" w:eastAsia="Times New Roman" w:hAnsi="Arial" w:cs="Arial"/>
          <w:color w:val="000000"/>
          <w:lang w:eastAsia="en-GB"/>
        </w:rPr>
        <w:t xml:space="preserve"> Director.  </w:t>
      </w:r>
    </w:p>
    <w:p w14:paraId="7369436F" w14:textId="77777777" w:rsidR="00A23E7A" w:rsidRPr="00A23E7A" w:rsidRDefault="00A23E7A" w:rsidP="00A23E7A">
      <w:pPr>
        <w:spacing w:after="0" w:line="240" w:lineRule="auto"/>
        <w:jc w:val="both"/>
        <w:rPr>
          <w:rFonts w:ascii="Arial" w:eastAsia="Times New Roman" w:hAnsi="Arial" w:cs="Arial"/>
          <w:lang w:eastAsia="en-GB"/>
        </w:rPr>
      </w:pPr>
    </w:p>
    <w:p w14:paraId="284D012C" w14:textId="51980DE3" w:rsid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5159AB9C" w14:textId="77777777" w:rsidR="00587699" w:rsidRPr="00A23E7A" w:rsidRDefault="00587699" w:rsidP="00A23E7A">
      <w:pPr>
        <w:spacing w:after="0" w:line="240" w:lineRule="auto"/>
        <w:jc w:val="both"/>
        <w:rPr>
          <w:rFonts w:ascii="Arial" w:eastAsia="Times New Roman" w:hAnsi="Arial" w:cs="Arial"/>
        </w:rPr>
      </w:pPr>
    </w:p>
    <w:p w14:paraId="05FDF3BF" w14:textId="5490384C" w:rsidR="00587699" w:rsidRPr="002F3A0F" w:rsidRDefault="00587699" w:rsidP="00587699">
      <w:pPr>
        <w:spacing w:after="0" w:line="240" w:lineRule="auto"/>
        <w:ind w:firstLine="720"/>
        <w:jc w:val="both"/>
        <w:rPr>
          <w:rFonts w:ascii="Arial" w:eastAsia="Times New Roman" w:hAnsi="Arial" w:cs="Arial"/>
        </w:rPr>
      </w:pPr>
      <w:r w:rsidRPr="008A6B86">
        <w:rPr>
          <w:rFonts w:ascii="Arial" w:eastAsia="Times New Roman" w:hAnsi="Arial" w:cs="Arial"/>
          <w:u w:val="single"/>
        </w:rPr>
        <w:t>Direct Clinical Care and Admin</w:t>
      </w:r>
      <w:r w:rsidR="002F3A0F">
        <w:rPr>
          <w:rFonts w:ascii="Arial" w:eastAsia="Times New Roman" w:hAnsi="Arial" w:cs="Arial"/>
          <w:u w:val="single"/>
        </w:rPr>
        <w:t>:</w:t>
      </w:r>
      <w:r w:rsidR="002F3A0F">
        <w:rPr>
          <w:rFonts w:ascii="Arial" w:eastAsia="Times New Roman" w:hAnsi="Arial" w:cs="Arial"/>
        </w:rPr>
        <w:tab/>
      </w:r>
      <w:r w:rsidR="002F3A0F">
        <w:rPr>
          <w:rFonts w:ascii="Arial" w:eastAsia="Times New Roman" w:hAnsi="Arial" w:cs="Arial"/>
        </w:rPr>
        <w:tab/>
      </w:r>
      <w:r w:rsidR="002F3A0F">
        <w:rPr>
          <w:rFonts w:ascii="Arial" w:eastAsia="Times New Roman" w:hAnsi="Arial" w:cs="Arial"/>
        </w:rPr>
        <w:tab/>
      </w:r>
      <w:r w:rsidR="002F3A0F">
        <w:rPr>
          <w:rFonts w:ascii="Arial" w:eastAsia="Times New Roman" w:hAnsi="Arial" w:cs="Arial"/>
        </w:rPr>
        <w:tab/>
      </w:r>
      <w:r w:rsidR="002F3A0F">
        <w:rPr>
          <w:rFonts w:ascii="Arial" w:eastAsia="Times New Roman" w:hAnsi="Arial" w:cs="Arial"/>
        </w:rPr>
        <w:tab/>
        <w:t>7.5PA’s</w:t>
      </w:r>
    </w:p>
    <w:p w14:paraId="7A7C9C1B" w14:textId="55D748F2" w:rsidR="00587699" w:rsidRPr="008A6B86" w:rsidRDefault="00587699" w:rsidP="00587699">
      <w:pPr>
        <w:tabs>
          <w:tab w:val="left" w:pos="1440"/>
          <w:tab w:val="left" w:pos="7200"/>
        </w:tabs>
        <w:spacing w:after="0" w:line="240" w:lineRule="auto"/>
        <w:ind w:left="709"/>
        <w:jc w:val="both"/>
        <w:rPr>
          <w:rFonts w:ascii="Arial" w:eastAsia="Times New Roman" w:hAnsi="Arial" w:cs="Arial"/>
        </w:rPr>
      </w:pPr>
    </w:p>
    <w:p w14:paraId="197DC114" w14:textId="77777777" w:rsidR="00587699" w:rsidRPr="008A6B86" w:rsidRDefault="00587699" w:rsidP="00587699">
      <w:pPr>
        <w:tabs>
          <w:tab w:val="left" w:pos="1440"/>
          <w:tab w:val="left" w:pos="7200"/>
        </w:tabs>
        <w:spacing w:after="0" w:line="240" w:lineRule="auto"/>
        <w:jc w:val="both"/>
        <w:rPr>
          <w:rFonts w:ascii="Arial" w:eastAsia="Times New Roman" w:hAnsi="Arial" w:cs="Arial"/>
        </w:rPr>
      </w:pPr>
    </w:p>
    <w:p w14:paraId="0864ED1E" w14:textId="77777777" w:rsidR="00587699" w:rsidRPr="008A6B86" w:rsidRDefault="00587699" w:rsidP="00587699">
      <w:pPr>
        <w:tabs>
          <w:tab w:val="left" w:pos="709"/>
          <w:tab w:val="left" w:pos="7200"/>
        </w:tabs>
        <w:spacing w:after="0" w:line="240" w:lineRule="auto"/>
        <w:jc w:val="both"/>
        <w:rPr>
          <w:rFonts w:ascii="Arial" w:eastAsia="Times New Roman" w:hAnsi="Arial" w:cs="Arial"/>
          <w:u w:val="single"/>
        </w:rPr>
      </w:pPr>
      <w:r w:rsidRPr="008A6B86">
        <w:rPr>
          <w:rFonts w:ascii="Arial" w:eastAsia="Times New Roman" w:hAnsi="Arial" w:cs="Arial"/>
        </w:rPr>
        <w:tab/>
      </w:r>
      <w:r w:rsidRPr="008A6B86">
        <w:rPr>
          <w:rFonts w:ascii="Arial" w:eastAsia="Times New Roman" w:hAnsi="Arial" w:cs="Arial"/>
          <w:u w:val="single"/>
        </w:rPr>
        <w:t>Supporting Professional Activities:</w:t>
      </w:r>
    </w:p>
    <w:p w14:paraId="22E94B00" w14:textId="0C0BDA5C" w:rsidR="00587699" w:rsidRPr="008A6B86" w:rsidRDefault="00587699" w:rsidP="00587699">
      <w:pPr>
        <w:tabs>
          <w:tab w:val="left" w:pos="709"/>
          <w:tab w:val="left" w:pos="7200"/>
        </w:tabs>
        <w:spacing w:after="0" w:line="240" w:lineRule="auto"/>
        <w:jc w:val="both"/>
        <w:rPr>
          <w:rFonts w:ascii="Arial" w:eastAsia="Times New Roman" w:hAnsi="Arial" w:cs="Arial"/>
        </w:rPr>
      </w:pPr>
      <w:r w:rsidRPr="008A6B86">
        <w:rPr>
          <w:rFonts w:ascii="Arial" w:eastAsia="Times New Roman" w:hAnsi="Arial" w:cs="Arial"/>
        </w:rPr>
        <w:tab/>
        <w:t xml:space="preserve">CPD, research and </w:t>
      </w:r>
      <w:r w:rsidR="002F3A0F">
        <w:rPr>
          <w:rFonts w:ascii="Arial" w:eastAsia="Times New Roman" w:hAnsi="Arial" w:cs="Arial"/>
        </w:rPr>
        <w:t xml:space="preserve">medical </w:t>
      </w:r>
      <w:r w:rsidRPr="008A6B86">
        <w:rPr>
          <w:rFonts w:ascii="Arial" w:eastAsia="Times New Roman" w:hAnsi="Arial" w:cs="Arial"/>
        </w:rPr>
        <w:t>audit</w:t>
      </w:r>
      <w:r w:rsidRPr="008A6B86">
        <w:rPr>
          <w:rFonts w:ascii="Arial" w:eastAsia="Times New Roman" w:hAnsi="Arial" w:cs="Arial"/>
        </w:rPr>
        <w:tab/>
        <w:t>2 PA’s</w:t>
      </w:r>
    </w:p>
    <w:p w14:paraId="4C63FCAE" w14:textId="502BE70D" w:rsidR="002F3A0F" w:rsidRDefault="00587699" w:rsidP="00587699">
      <w:pPr>
        <w:tabs>
          <w:tab w:val="left" w:pos="709"/>
          <w:tab w:val="left" w:pos="7200"/>
        </w:tabs>
        <w:spacing w:after="0" w:line="240" w:lineRule="auto"/>
        <w:jc w:val="both"/>
        <w:rPr>
          <w:rFonts w:ascii="Arial" w:eastAsia="Times New Roman" w:hAnsi="Arial" w:cs="Arial"/>
        </w:rPr>
      </w:pPr>
      <w:r w:rsidRPr="008A6B86">
        <w:rPr>
          <w:rFonts w:ascii="Arial" w:eastAsia="Times New Roman" w:hAnsi="Arial" w:cs="Arial"/>
        </w:rPr>
        <w:tab/>
      </w:r>
      <w:r w:rsidR="002F3A0F">
        <w:rPr>
          <w:rFonts w:ascii="Arial" w:eastAsia="Times New Roman" w:hAnsi="Arial" w:cs="Arial"/>
        </w:rPr>
        <w:t>Peer Support/Supervision</w:t>
      </w:r>
    </w:p>
    <w:p w14:paraId="6AEF1431" w14:textId="32E18903" w:rsidR="00587699" w:rsidRPr="008A6B86" w:rsidRDefault="002F3A0F" w:rsidP="00587699">
      <w:pPr>
        <w:tabs>
          <w:tab w:val="left" w:pos="709"/>
          <w:tab w:val="left" w:pos="7200"/>
        </w:tabs>
        <w:spacing w:after="0" w:line="240" w:lineRule="auto"/>
        <w:jc w:val="both"/>
        <w:rPr>
          <w:rFonts w:ascii="Arial" w:eastAsia="Times New Roman" w:hAnsi="Arial" w:cs="Arial"/>
        </w:rPr>
      </w:pPr>
      <w:r>
        <w:rPr>
          <w:rFonts w:ascii="Arial" w:eastAsia="Times New Roman" w:hAnsi="Arial" w:cs="Arial"/>
        </w:rPr>
        <w:tab/>
      </w:r>
      <w:r w:rsidR="00587699" w:rsidRPr="008A6B86">
        <w:rPr>
          <w:rFonts w:ascii="Arial" w:eastAsia="Times New Roman" w:hAnsi="Arial" w:cs="Arial"/>
        </w:rPr>
        <w:t>Undergraduate Teaching</w:t>
      </w:r>
      <w:r w:rsidR="00587699" w:rsidRPr="008A6B86">
        <w:rPr>
          <w:rFonts w:ascii="Arial" w:eastAsia="Times New Roman" w:hAnsi="Arial" w:cs="Arial"/>
        </w:rPr>
        <w:tab/>
        <w:t>0.5PA</w:t>
      </w:r>
    </w:p>
    <w:p w14:paraId="70E689CB" w14:textId="77777777" w:rsidR="00587699" w:rsidRPr="008A6B86" w:rsidRDefault="00587699" w:rsidP="00587699">
      <w:pPr>
        <w:tabs>
          <w:tab w:val="left" w:pos="1440"/>
          <w:tab w:val="left" w:pos="7200"/>
        </w:tabs>
        <w:spacing w:after="0" w:line="240" w:lineRule="auto"/>
        <w:jc w:val="both"/>
        <w:rPr>
          <w:rFonts w:ascii="Arial" w:eastAsia="Times New Roman" w:hAnsi="Arial" w:cs="Arial"/>
          <w:u w:val="single"/>
        </w:rPr>
      </w:pPr>
    </w:p>
    <w:p w14:paraId="57412376" w14:textId="77777777" w:rsidR="00587699" w:rsidRPr="002912D1" w:rsidRDefault="00587699" w:rsidP="00587699">
      <w:pPr>
        <w:tabs>
          <w:tab w:val="left" w:pos="709"/>
          <w:tab w:val="left" w:pos="7200"/>
        </w:tabs>
        <w:spacing w:after="0" w:line="240" w:lineRule="auto"/>
        <w:jc w:val="both"/>
        <w:rPr>
          <w:rFonts w:ascii="Arial" w:eastAsia="Times New Roman" w:hAnsi="Arial" w:cs="Arial"/>
          <w:b/>
        </w:rPr>
      </w:pPr>
      <w:r w:rsidRPr="008A6B86">
        <w:rPr>
          <w:rFonts w:ascii="Arial" w:eastAsia="Times New Roman" w:hAnsi="Arial" w:cs="Arial"/>
          <w:b/>
        </w:rPr>
        <w:tab/>
        <w:t>Total</w:t>
      </w:r>
      <w:r w:rsidRPr="008A6B86">
        <w:rPr>
          <w:rFonts w:ascii="Arial" w:eastAsia="Times New Roman" w:hAnsi="Arial" w:cs="Arial"/>
          <w:b/>
        </w:rPr>
        <w:tab/>
        <w:t>10 PA’s</w:t>
      </w:r>
    </w:p>
    <w:p w14:paraId="2D32B49A" w14:textId="77777777" w:rsidR="00A23E7A" w:rsidRPr="00A23E7A" w:rsidRDefault="00A23E7A" w:rsidP="00A23E7A">
      <w:pPr>
        <w:spacing w:after="0" w:line="240" w:lineRule="auto"/>
        <w:ind w:left="720"/>
        <w:jc w:val="both"/>
        <w:rPr>
          <w:rFonts w:ascii="Arial" w:eastAsia="Times New Roman" w:hAnsi="Arial" w:cs="Arial"/>
        </w:rPr>
      </w:pPr>
    </w:p>
    <w:p w14:paraId="2A9B6952" w14:textId="77777777" w:rsidR="00A23E7A" w:rsidRPr="00A23E7A" w:rsidRDefault="00A23E7A" w:rsidP="00A23E7A">
      <w:pPr>
        <w:spacing w:after="0" w:line="240" w:lineRule="auto"/>
        <w:ind w:left="720"/>
        <w:jc w:val="both"/>
        <w:rPr>
          <w:rFonts w:ascii="Arial" w:eastAsia="Times New Roman" w:hAnsi="Arial" w:cs="Arial"/>
          <w:b/>
        </w:rPr>
      </w:pPr>
    </w:p>
    <w:p w14:paraId="35845B37" w14:textId="77777777" w:rsidR="00FF7711" w:rsidRPr="00587699" w:rsidRDefault="00A23E7A" w:rsidP="00A23E7A">
      <w:pPr>
        <w:spacing w:after="0" w:line="240" w:lineRule="auto"/>
        <w:jc w:val="both"/>
        <w:rPr>
          <w:rFonts w:ascii="Arial" w:eastAsia="Times New Roman" w:hAnsi="Arial" w:cs="Arial"/>
        </w:rPr>
      </w:pPr>
      <w:r w:rsidRPr="00587699">
        <w:rPr>
          <w:rFonts w:ascii="Arial" w:eastAsia="Times New Roman" w:hAnsi="Arial" w:cs="Arial"/>
        </w:rPr>
        <w:t xml:space="preserve">A separate availability supplement will be payable for on call duties, which are currently based on a rota of approximately 1:13. The availability supplement will be 3% (category A). </w:t>
      </w:r>
    </w:p>
    <w:p w14:paraId="0E61EE1F" w14:textId="6882FE60" w:rsidR="00FF7711" w:rsidRPr="00587699" w:rsidRDefault="00FF7711" w:rsidP="00A23E7A">
      <w:pPr>
        <w:spacing w:after="0" w:line="240" w:lineRule="auto"/>
        <w:jc w:val="both"/>
        <w:rPr>
          <w:rFonts w:ascii="Arial" w:eastAsia="Times New Roman" w:hAnsi="Arial" w:cs="Arial"/>
        </w:rPr>
      </w:pPr>
      <w:r w:rsidRPr="00587699">
        <w:rPr>
          <w:rFonts w:ascii="Arial" w:eastAsia="Times New Roman" w:hAnsi="Arial" w:cs="Arial"/>
        </w:rPr>
        <w:t xml:space="preserve">There are five Consultant on call rotas to cover Adult City, Adult County, Old Age, CAMHS and Learning Disabilities.  </w:t>
      </w:r>
      <w:r w:rsidR="00A23E7A" w:rsidRPr="00587699">
        <w:rPr>
          <w:rFonts w:ascii="Arial" w:eastAsia="Times New Roman" w:hAnsi="Arial" w:cs="Arial"/>
        </w:rPr>
        <w:t xml:space="preserve">There </w:t>
      </w:r>
      <w:r w:rsidRPr="00587699">
        <w:rPr>
          <w:rFonts w:ascii="Arial" w:eastAsia="Times New Roman" w:hAnsi="Arial" w:cs="Arial"/>
        </w:rPr>
        <w:t>are also two StR rotas and four junior doctor rotas for out of hours provision.</w:t>
      </w:r>
    </w:p>
    <w:p w14:paraId="2D2B79D1" w14:textId="77777777" w:rsidR="00FF7711" w:rsidRDefault="00FF7711"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30813995" w14:textId="09D2D810" w:rsidR="00E15637" w:rsidRPr="000C115D" w:rsidRDefault="000C115D" w:rsidP="00587699">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bookmarkStart w:id="1" w:name="_Hlk83038358"/>
    </w:p>
    <w:p w14:paraId="4B5BD590" w14:textId="1532B90E" w:rsidR="000C115D" w:rsidRDefault="000C115D" w:rsidP="000C115D">
      <w:pPr>
        <w:spacing w:after="0" w:line="240" w:lineRule="auto"/>
        <w:rPr>
          <w:rFonts w:ascii="Arial" w:eastAsia="Times New Roman" w:hAnsi="Arial" w:cs="Arial"/>
          <w:lang w:eastAsia="en-GB"/>
        </w:rPr>
      </w:pPr>
    </w:p>
    <w:tbl>
      <w:tblPr>
        <w:tblW w:w="9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E15637" w14:paraId="702DA781" w14:textId="77777777" w:rsidTr="00FD4A37">
        <w:trPr>
          <w:trHeight w:val="357"/>
        </w:trPr>
        <w:tc>
          <w:tcPr>
            <w:tcW w:w="1555" w:type="dxa"/>
          </w:tcPr>
          <w:p w14:paraId="5AE5A06D"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36486937" w14:textId="77777777" w:rsidR="00E15637" w:rsidRPr="00E15637" w:rsidRDefault="00E15637"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12F920E0" w14:textId="77777777" w:rsidR="00E15637" w:rsidRPr="00596E9D" w:rsidRDefault="00E15637" w:rsidP="009A22F4">
            <w:pPr>
              <w:pStyle w:val="TableParagraph"/>
              <w:spacing w:before="87"/>
              <w:ind w:left="54"/>
              <w:rPr>
                <w:rFonts w:ascii="Arial" w:hAnsi="Arial" w:cs="Arial"/>
                <w:b/>
                <w:sz w:val="20"/>
                <w:szCs w:val="20"/>
              </w:rPr>
            </w:pPr>
            <w:r w:rsidRPr="00596E9D">
              <w:rPr>
                <w:rFonts w:ascii="Arial" w:hAnsi="Arial" w:cs="Arial"/>
                <w:b/>
                <w:sz w:val="20"/>
                <w:szCs w:val="20"/>
              </w:rPr>
              <w:t>Location</w:t>
            </w:r>
          </w:p>
        </w:tc>
        <w:tc>
          <w:tcPr>
            <w:tcW w:w="2976" w:type="dxa"/>
          </w:tcPr>
          <w:p w14:paraId="7A6EE632" w14:textId="77777777" w:rsidR="00E15637" w:rsidRPr="00596E9D" w:rsidRDefault="00E15637" w:rsidP="009A22F4">
            <w:pPr>
              <w:pStyle w:val="TableParagraph"/>
              <w:spacing w:before="87"/>
              <w:ind w:left="57"/>
              <w:rPr>
                <w:rFonts w:ascii="Arial" w:hAnsi="Arial" w:cs="Arial"/>
                <w:b/>
                <w:sz w:val="20"/>
                <w:szCs w:val="20"/>
              </w:rPr>
            </w:pPr>
            <w:r w:rsidRPr="00596E9D">
              <w:rPr>
                <w:rFonts w:ascii="Arial" w:hAnsi="Arial" w:cs="Arial"/>
                <w:b/>
                <w:sz w:val="20"/>
                <w:szCs w:val="20"/>
              </w:rPr>
              <w:t>Work</w:t>
            </w:r>
          </w:p>
        </w:tc>
        <w:tc>
          <w:tcPr>
            <w:tcW w:w="1135" w:type="dxa"/>
          </w:tcPr>
          <w:p w14:paraId="0B820E8B" w14:textId="77777777" w:rsidR="00E15637" w:rsidRPr="00E15637" w:rsidRDefault="00E15637"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1774A013" w14:textId="77777777" w:rsidR="00E15637" w:rsidRPr="00E15637" w:rsidRDefault="00E15637"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FD4A37" w14:paraId="7FB9BCEC" w14:textId="77777777" w:rsidTr="00FD4A37">
        <w:trPr>
          <w:trHeight w:val="357"/>
        </w:trPr>
        <w:tc>
          <w:tcPr>
            <w:tcW w:w="1555" w:type="dxa"/>
            <w:vMerge w:val="restart"/>
          </w:tcPr>
          <w:p w14:paraId="227FFF52" w14:textId="77777777" w:rsidR="00FD4A37" w:rsidRPr="00E15637" w:rsidRDefault="00FD4A37" w:rsidP="00FD4A37">
            <w:pPr>
              <w:pStyle w:val="TableParagraph"/>
              <w:spacing w:before="1"/>
              <w:rPr>
                <w:rFonts w:ascii="Arial" w:hAnsi="Arial" w:cs="Arial"/>
                <w:sz w:val="20"/>
                <w:szCs w:val="20"/>
              </w:rPr>
            </w:pPr>
          </w:p>
          <w:p w14:paraId="23729F38" w14:textId="77777777" w:rsidR="00FD4A37" w:rsidRPr="00E15637" w:rsidRDefault="00FD4A37" w:rsidP="00FD4A37">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7F52E42F" w14:textId="77777777" w:rsidR="00FD4A37" w:rsidRPr="00E15637" w:rsidRDefault="00FD4A37" w:rsidP="00FD4A37">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A08CBCC" w14:textId="76F89083"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2E7F1A2A" w14:textId="35091E0F" w:rsidR="00FD4A37" w:rsidRPr="00596E9D" w:rsidRDefault="00FD4A37" w:rsidP="00FD4A37">
            <w:pPr>
              <w:pStyle w:val="TableParagraph"/>
              <w:rPr>
                <w:rFonts w:ascii="Arial" w:hAnsi="Arial" w:cs="Arial"/>
                <w:sz w:val="20"/>
                <w:szCs w:val="20"/>
              </w:rPr>
            </w:pPr>
            <w:r w:rsidRPr="00596E9D">
              <w:rPr>
                <w:rFonts w:ascii="Arial" w:hAnsi="Arial" w:cs="Arial"/>
                <w:sz w:val="20"/>
                <w:szCs w:val="20"/>
              </w:rPr>
              <w:t>MDT/Clinics</w:t>
            </w:r>
          </w:p>
        </w:tc>
        <w:tc>
          <w:tcPr>
            <w:tcW w:w="1135" w:type="dxa"/>
          </w:tcPr>
          <w:p w14:paraId="201DDF1E" w14:textId="77777777" w:rsidR="00FD4A37" w:rsidRDefault="00FD4A37" w:rsidP="00FD4A37">
            <w:pPr>
              <w:pStyle w:val="TableParagraph"/>
              <w:spacing w:before="87"/>
              <w:ind w:left="132"/>
              <w:rPr>
                <w:rFonts w:ascii="Arial" w:hAnsi="Arial" w:cs="Arial"/>
                <w:sz w:val="20"/>
                <w:szCs w:val="20"/>
              </w:rPr>
            </w:pPr>
            <w:r w:rsidRPr="00E15637">
              <w:rPr>
                <w:rFonts w:ascii="Arial" w:hAnsi="Arial" w:cs="Arial"/>
                <w:sz w:val="20"/>
                <w:szCs w:val="20"/>
              </w:rPr>
              <w:t>DCC</w:t>
            </w:r>
          </w:p>
          <w:p w14:paraId="5D1B9AEB" w14:textId="3672EC9B" w:rsidR="00FD4A37" w:rsidRPr="00E15637" w:rsidRDefault="00FD4A37" w:rsidP="00FD4A37">
            <w:pPr>
              <w:pStyle w:val="TableParagraph"/>
              <w:spacing w:before="87"/>
              <w:ind w:left="132"/>
              <w:rPr>
                <w:rFonts w:ascii="Arial" w:hAnsi="Arial" w:cs="Arial"/>
                <w:sz w:val="20"/>
                <w:szCs w:val="20"/>
              </w:rPr>
            </w:pPr>
          </w:p>
        </w:tc>
        <w:tc>
          <w:tcPr>
            <w:tcW w:w="1133" w:type="dxa"/>
          </w:tcPr>
          <w:p w14:paraId="07130529" w14:textId="71EBC6A1"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5550F309" w14:textId="77777777" w:rsidTr="00FD4A37">
        <w:trPr>
          <w:trHeight w:val="357"/>
        </w:trPr>
        <w:tc>
          <w:tcPr>
            <w:tcW w:w="1555" w:type="dxa"/>
            <w:vMerge/>
            <w:tcBorders>
              <w:top w:val="nil"/>
            </w:tcBorders>
          </w:tcPr>
          <w:p w14:paraId="1391B16F" w14:textId="77777777" w:rsidR="00FD4A37" w:rsidRPr="00E15637" w:rsidRDefault="00FD4A37" w:rsidP="00FD4A37">
            <w:pPr>
              <w:rPr>
                <w:rFonts w:ascii="Arial" w:hAnsi="Arial" w:cs="Arial"/>
                <w:sz w:val="20"/>
                <w:szCs w:val="20"/>
              </w:rPr>
            </w:pPr>
          </w:p>
        </w:tc>
        <w:tc>
          <w:tcPr>
            <w:tcW w:w="583" w:type="dxa"/>
          </w:tcPr>
          <w:p w14:paraId="5750A100" w14:textId="77777777" w:rsidR="00FD4A37" w:rsidRPr="00E15637" w:rsidRDefault="00FD4A37" w:rsidP="00FD4A37">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4B3D673F" w14:textId="0C8898A4"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39D2E42B" w14:textId="77777777" w:rsidR="00FD4A37" w:rsidRPr="00596E9D" w:rsidRDefault="00FD4A37" w:rsidP="00FD4A37">
            <w:pPr>
              <w:pStyle w:val="TableParagraph"/>
              <w:rPr>
                <w:rFonts w:ascii="Arial" w:hAnsi="Arial" w:cs="Arial"/>
                <w:sz w:val="20"/>
                <w:szCs w:val="20"/>
              </w:rPr>
            </w:pPr>
          </w:p>
          <w:p w14:paraId="0DAECB75" w14:textId="7813F149" w:rsidR="00FD4A37" w:rsidRPr="00596E9D" w:rsidRDefault="00A40423" w:rsidP="00FD4A37">
            <w:pPr>
              <w:pStyle w:val="TableParagraph"/>
              <w:rPr>
                <w:rFonts w:ascii="Arial" w:hAnsi="Arial" w:cs="Arial"/>
                <w:sz w:val="20"/>
                <w:szCs w:val="20"/>
              </w:rPr>
            </w:pPr>
            <w:r w:rsidRPr="00A40423">
              <w:rPr>
                <w:rFonts w:ascii="Arial" w:hAnsi="Arial" w:cs="Arial"/>
                <w:sz w:val="20"/>
                <w:szCs w:val="20"/>
              </w:rPr>
              <w:t>Home visits</w:t>
            </w:r>
          </w:p>
        </w:tc>
        <w:tc>
          <w:tcPr>
            <w:tcW w:w="1135" w:type="dxa"/>
          </w:tcPr>
          <w:p w14:paraId="05C00CBE" w14:textId="0E5116D9" w:rsidR="00FD4A37" w:rsidRPr="00E15637" w:rsidRDefault="00FD4A37" w:rsidP="00A40423">
            <w:pPr>
              <w:pStyle w:val="TableParagraph"/>
              <w:spacing w:before="87"/>
              <w:ind w:left="131"/>
              <w:rPr>
                <w:rFonts w:ascii="Arial" w:hAnsi="Arial" w:cs="Arial"/>
                <w:sz w:val="20"/>
                <w:szCs w:val="20"/>
              </w:rPr>
            </w:pPr>
            <w:r w:rsidRPr="00E15637">
              <w:rPr>
                <w:rFonts w:ascii="Arial" w:hAnsi="Arial" w:cs="Arial"/>
                <w:sz w:val="20"/>
                <w:szCs w:val="20"/>
              </w:rPr>
              <w:t>DCC</w:t>
            </w:r>
          </w:p>
        </w:tc>
        <w:tc>
          <w:tcPr>
            <w:tcW w:w="1133" w:type="dxa"/>
          </w:tcPr>
          <w:p w14:paraId="33B58235" w14:textId="2520EB0E" w:rsidR="001A2A26" w:rsidRPr="00E15637" w:rsidRDefault="00A40423" w:rsidP="00FD4A37">
            <w:pPr>
              <w:pStyle w:val="TableParagraph"/>
              <w:rPr>
                <w:rFonts w:ascii="Arial" w:hAnsi="Arial" w:cs="Arial"/>
                <w:sz w:val="20"/>
                <w:szCs w:val="20"/>
              </w:rPr>
            </w:pPr>
            <w:r>
              <w:rPr>
                <w:rFonts w:ascii="Arial" w:hAnsi="Arial" w:cs="Arial"/>
                <w:sz w:val="20"/>
                <w:szCs w:val="20"/>
              </w:rPr>
              <w:t>1</w:t>
            </w:r>
          </w:p>
        </w:tc>
      </w:tr>
      <w:tr w:rsidR="00FD4A37" w14:paraId="302EE33E" w14:textId="77777777" w:rsidTr="00FD4A37">
        <w:trPr>
          <w:trHeight w:val="357"/>
        </w:trPr>
        <w:tc>
          <w:tcPr>
            <w:tcW w:w="1555" w:type="dxa"/>
            <w:vMerge w:val="restart"/>
          </w:tcPr>
          <w:p w14:paraId="1D887A90" w14:textId="77777777" w:rsidR="00FD4A37" w:rsidRPr="00E15637" w:rsidRDefault="00FD4A37" w:rsidP="00FD4A37">
            <w:pPr>
              <w:pStyle w:val="TableParagraph"/>
              <w:spacing w:before="1"/>
              <w:rPr>
                <w:rFonts w:ascii="Arial" w:hAnsi="Arial" w:cs="Arial"/>
                <w:sz w:val="20"/>
                <w:szCs w:val="20"/>
              </w:rPr>
            </w:pPr>
          </w:p>
          <w:p w14:paraId="17D29512" w14:textId="77777777" w:rsidR="00FD4A37" w:rsidRPr="00E15637" w:rsidRDefault="00FD4A37" w:rsidP="00FD4A37">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04AD9435" w14:textId="77777777" w:rsidR="00FD4A37" w:rsidRPr="00E15637" w:rsidRDefault="00FD4A37" w:rsidP="00FD4A37">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21B5F5E" w14:textId="443AD0B6"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3F264FC6" w14:textId="010F5BDB" w:rsidR="00FD4A37" w:rsidRPr="00596E9D" w:rsidRDefault="00FD4A37" w:rsidP="00FD4A37">
            <w:pPr>
              <w:pStyle w:val="TableParagraph"/>
              <w:rPr>
                <w:rFonts w:ascii="Arial" w:hAnsi="Arial" w:cs="Arial"/>
                <w:sz w:val="20"/>
                <w:szCs w:val="20"/>
              </w:rPr>
            </w:pPr>
            <w:r w:rsidRPr="00596E9D">
              <w:rPr>
                <w:rFonts w:ascii="Arial" w:hAnsi="Arial" w:cs="Arial"/>
                <w:sz w:val="20"/>
                <w:szCs w:val="20"/>
              </w:rPr>
              <w:t>MDT/Clinics</w:t>
            </w:r>
          </w:p>
        </w:tc>
        <w:tc>
          <w:tcPr>
            <w:tcW w:w="1135" w:type="dxa"/>
          </w:tcPr>
          <w:p w14:paraId="3BCF225E" w14:textId="3BF02858" w:rsidR="00FD4A37" w:rsidRPr="00E15637" w:rsidRDefault="00FD4A37" w:rsidP="001A2A26">
            <w:pPr>
              <w:pStyle w:val="TableParagraph"/>
              <w:spacing w:before="87"/>
              <w:ind w:left="132"/>
              <w:rPr>
                <w:rFonts w:ascii="Arial" w:hAnsi="Arial" w:cs="Arial"/>
                <w:sz w:val="20"/>
                <w:szCs w:val="20"/>
              </w:rPr>
            </w:pPr>
            <w:r w:rsidRPr="00E15637">
              <w:rPr>
                <w:rFonts w:ascii="Arial" w:hAnsi="Arial" w:cs="Arial"/>
                <w:sz w:val="20"/>
                <w:szCs w:val="20"/>
              </w:rPr>
              <w:t>DCC</w:t>
            </w:r>
            <w:r>
              <w:rPr>
                <w:rFonts w:ascii="Arial" w:hAnsi="Arial" w:cs="Arial"/>
                <w:sz w:val="20"/>
                <w:szCs w:val="20"/>
              </w:rPr>
              <w:t>/</w:t>
            </w:r>
          </w:p>
        </w:tc>
        <w:tc>
          <w:tcPr>
            <w:tcW w:w="1133" w:type="dxa"/>
          </w:tcPr>
          <w:p w14:paraId="146635E9" w14:textId="07489EED"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480E06A7" w14:textId="77777777" w:rsidTr="00FD4A37">
        <w:trPr>
          <w:trHeight w:val="357"/>
        </w:trPr>
        <w:tc>
          <w:tcPr>
            <w:tcW w:w="1555" w:type="dxa"/>
            <w:vMerge/>
            <w:tcBorders>
              <w:top w:val="nil"/>
            </w:tcBorders>
          </w:tcPr>
          <w:p w14:paraId="11D092D3" w14:textId="77777777" w:rsidR="00FD4A37" w:rsidRPr="00E15637" w:rsidRDefault="00FD4A37" w:rsidP="00FD4A37">
            <w:pPr>
              <w:rPr>
                <w:rFonts w:ascii="Arial" w:hAnsi="Arial" w:cs="Arial"/>
                <w:sz w:val="20"/>
                <w:szCs w:val="20"/>
              </w:rPr>
            </w:pPr>
          </w:p>
        </w:tc>
        <w:tc>
          <w:tcPr>
            <w:tcW w:w="583" w:type="dxa"/>
          </w:tcPr>
          <w:p w14:paraId="099D5F34" w14:textId="77777777" w:rsidR="00FD4A37" w:rsidRPr="00E15637" w:rsidRDefault="00FD4A37" w:rsidP="00FD4A37">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755A0A5B" w14:textId="7DBF8C75"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45439B14" w14:textId="77777777" w:rsidR="00FD4A37" w:rsidRPr="00596E9D" w:rsidRDefault="00FD4A37" w:rsidP="00FD4A37">
            <w:pPr>
              <w:pStyle w:val="TableParagraph"/>
              <w:rPr>
                <w:rFonts w:ascii="Arial" w:hAnsi="Arial" w:cs="Arial"/>
                <w:sz w:val="20"/>
                <w:szCs w:val="20"/>
              </w:rPr>
            </w:pPr>
            <w:r w:rsidRPr="00596E9D">
              <w:rPr>
                <w:rFonts w:ascii="Arial" w:hAnsi="Arial" w:cs="Arial"/>
                <w:sz w:val="20"/>
                <w:szCs w:val="20"/>
              </w:rPr>
              <w:t>SPA</w:t>
            </w:r>
          </w:p>
          <w:p w14:paraId="1A4C354E" w14:textId="3973304B" w:rsidR="00FD4A37" w:rsidRPr="00596E9D" w:rsidRDefault="00FD4A37" w:rsidP="00FD4A37">
            <w:pPr>
              <w:pStyle w:val="TableParagraph"/>
              <w:rPr>
                <w:rFonts w:ascii="Arial" w:hAnsi="Arial" w:cs="Arial"/>
                <w:sz w:val="20"/>
                <w:szCs w:val="20"/>
              </w:rPr>
            </w:pPr>
          </w:p>
        </w:tc>
        <w:tc>
          <w:tcPr>
            <w:tcW w:w="1135" w:type="dxa"/>
          </w:tcPr>
          <w:p w14:paraId="78A5A8B4" w14:textId="58083E44" w:rsidR="00FD4A37" w:rsidRPr="00E15637" w:rsidRDefault="00FD4A37" w:rsidP="00FD4A37">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06460A83" w14:textId="08058D3E"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233A07FF" w14:textId="77777777" w:rsidTr="00FD4A37">
        <w:trPr>
          <w:trHeight w:val="357"/>
        </w:trPr>
        <w:tc>
          <w:tcPr>
            <w:tcW w:w="1555" w:type="dxa"/>
            <w:vMerge w:val="restart"/>
          </w:tcPr>
          <w:p w14:paraId="5D21FDF2" w14:textId="77777777" w:rsidR="00FD4A37" w:rsidRPr="00E15637" w:rsidRDefault="00FD4A37" w:rsidP="00FD4A37">
            <w:pPr>
              <w:pStyle w:val="TableParagraph"/>
              <w:spacing w:before="1"/>
              <w:rPr>
                <w:rFonts w:ascii="Arial" w:hAnsi="Arial" w:cs="Arial"/>
                <w:sz w:val="20"/>
                <w:szCs w:val="20"/>
              </w:rPr>
            </w:pPr>
          </w:p>
          <w:p w14:paraId="7C181F7A" w14:textId="77777777" w:rsidR="00FD4A37" w:rsidRPr="00E15637" w:rsidRDefault="00FD4A37" w:rsidP="00FD4A37">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447C811C" w14:textId="77777777" w:rsidR="00FD4A37" w:rsidRPr="00E15637" w:rsidRDefault="00FD4A37" w:rsidP="00FD4A37">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7771D753" w14:textId="7B1E3865"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4DA122C9" w14:textId="38F37AB6" w:rsidR="00FD4A37" w:rsidRPr="00596E9D" w:rsidRDefault="005762E7" w:rsidP="00FD4A37">
            <w:pPr>
              <w:pStyle w:val="TableParagraph"/>
              <w:rPr>
                <w:rFonts w:ascii="Arial" w:hAnsi="Arial" w:cs="Arial"/>
                <w:sz w:val="20"/>
                <w:szCs w:val="20"/>
              </w:rPr>
            </w:pPr>
            <w:r>
              <w:rPr>
                <w:rFonts w:ascii="Arial" w:hAnsi="Arial" w:cs="Arial"/>
                <w:sz w:val="20"/>
                <w:szCs w:val="20"/>
              </w:rPr>
              <w:t>Admin/</w:t>
            </w:r>
            <w:r w:rsidR="00FD4A37" w:rsidRPr="00596E9D">
              <w:rPr>
                <w:rFonts w:ascii="Arial" w:hAnsi="Arial" w:cs="Arial"/>
                <w:sz w:val="20"/>
                <w:szCs w:val="20"/>
              </w:rPr>
              <w:t>Clinics</w:t>
            </w:r>
          </w:p>
          <w:p w14:paraId="655E8848" w14:textId="1310873D" w:rsidR="00FD4A37" w:rsidRPr="00596E9D" w:rsidRDefault="00FD4A37" w:rsidP="00FD4A37">
            <w:pPr>
              <w:pStyle w:val="TableParagraph"/>
              <w:rPr>
                <w:rFonts w:ascii="Arial" w:hAnsi="Arial" w:cs="Arial"/>
                <w:sz w:val="20"/>
                <w:szCs w:val="20"/>
              </w:rPr>
            </w:pPr>
          </w:p>
        </w:tc>
        <w:tc>
          <w:tcPr>
            <w:tcW w:w="1135" w:type="dxa"/>
          </w:tcPr>
          <w:p w14:paraId="26A4B437" w14:textId="5690DB44" w:rsidR="00FD4A37" w:rsidRDefault="00FD4A37" w:rsidP="00FD4A37">
            <w:pPr>
              <w:pStyle w:val="TableParagraph"/>
              <w:spacing w:before="87"/>
              <w:ind w:left="132"/>
              <w:rPr>
                <w:rFonts w:ascii="Arial" w:hAnsi="Arial" w:cs="Arial"/>
                <w:sz w:val="20"/>
                <w:szCs w:val="20"/>
              </w:rPr>
            </w:pPr>
            <w:r>
              <w:rPr>
                <w:rFonts w:ascii="Arial" w:hAnsi="Arial" w:cs="Arial"/>
                <w:sz w:val="20"/>
                <w:szCs w:val="20"/>
              </w:rPr>
              <w:t>DCC</w:t>
            </w:r>
          </w:p>
          <w:p w14:paraId="769F192E" w14:textId="4F49A020" w:rsidR="00FD4A37" w:rsidRPr="00E15637" w:rsidRDefault="00FD4A37" w:rsidP="00FD4A37">
            <w:pPr>
              <w:pStyle w:val="TableParagraph"/>
              <w:spacing w:before="87"/>
              <w:ind w:left="132"/>
              <w:rPr>
                <w:rFonts w:ascii="Arial" w:hAnsi="Arial" w:cs="Arial"/>
                <w:sz w:val="20"/>
                <w:szCs w:val="20"/>
              </w:rPr>
            </w:pPr>
          </w:p>
        </w:tc>
        <w:tc>
          <w:tcPr>
            <w:tcW w:w="1133" w:type="dxa"/>
          </w:tcPr>
          <w:p w14:paraId="5095F08C" w14:textId="0E38B246"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105785B6" w14:textId="77777777" w:rsidTr="00FD4A37">
        <w:trPr>
          <w:trHeight w:val="357"/>
        </w:trPr>
        <w:tc>
          <w:tcPr>
            <w:tcW w:w="1555" w:type="dxa"/>
            <w:vMerge/>
            <w:tcBorders>
              <w:top w:val="nil"/>
            </w:tcBorders>
          </w:tcPr>
          <w:p w14:paraId="04519303" w14:textId="77777777" w:rsidR="00FD4A37" w:rsidRPr="00E15637" w:rsidRDefault="00FD4A37" w:rsidP="00FD4A37">
            <w:pPr>
              <w:rPr>
                <w:rFonts w:ascii="Arial" w:hAnsi="Arial" w:cs="Arial"/>
                <w:sz w:val="20"/>
                <w:szCs w:val="20"/>
              </w:rPr>
            </w:pPr>
          </w:p>
        </w:tc>
        <w:tc>
          <w:tcPr>
            <w:tcW w:w="583" w:type="dxa"/>
          </w:tcPr>
          <w:p w14:paraId="4881979B" w14:textId="77777777" w:rsidR="00FD4A37" w:rsidRPr="00E15637" w:rsidRDefault="00FD4A37" w:rsidP="00FD4A37">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EA1F405" w14:textId="327188FF"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161B2E13" w14:textId="162A876D" w:rsidR="00FD4A37" w:rsidRPr="00596E9D" w:rsidRDefault="00A40423" w:rsidP="00FD4A37">
            <w:pPr>
              <w:pStyle w:val="TableParagraph"/>
              <w:rPr>
                <w:rFonts w:ascii="Arial" w:hAnsi="Arial" w:cs="Arial"/>
                <w:sz w:val="20"/>
                <w:szCs w:val="20"/>
              </w:rPr>
            </w:pPr>
            <w:r w:rsidRPr="00A40423">
              <w:rPr>
                <w:rFonts w:ascii="Arial" w:hAnsi="Arial" w:cs="Arial"/>
                <w:sz w:val="20"/>
                <w:szCs w:val="20"/>
              </w:rPr>
              <w:t>Admin/Spa</w:t>
            </w:r>
          </w:p>
        </w:tc>
        <w:tc>
          <w:tcPr>
            <w:tcW w:w="1135" w:type="dxa"/>
          </w:tcPr>
          <w:p w14:paraId="2BC3429B" w14:textId="08AB6D4E" w:rsidR="00FD4A37" w:rsidRPr="00E15637" w:rsidRDefault="00FD4A37" w:rsidP="001A2A26">
            <w:pPr>
              <w:pStyle w:val="TableParagraph"/>
              <w:spacing w:before="87"/>
              <w:ind w:left="131"/>
              <w:rPr>
                <w:rFonts w:ascii="Arial" w:hAnsi="Arial" w:cs="Arial"/>
                <w:sz w:val="20"/>
                <w:szCs w:val="20"/>
              </w:rPr>
            </w:pPr>
            <w:r>
              <w:rPr>
                <w:rFonts w:ascii="Arial" w:hAnsi="Arial" w:cs="Arial"/>
                <w:sz w:val="20"/>
                <w:szCs w:val="20"/>
              </w:rPr>
              <w:t>DCC</w:t>
            </w:r>
            <w:r w:rsidR="00A40423">
              <w:rPr>
                <w:rFonts w:ascii="Arial" w:hAnsi="Arial" w:cs="Arial"/>
                <w:sz w:val="20"/>
                <w:szCs w:val="20"/>
              </w:rPr>
              <w:t>/SAP</w:t>
            </w:r>
          </w:p>
        </w:tc>
        <w:tc>
          <w:tcPr>
            <w:tcW w:w="1133" w:type="dxa"/>
          </w:tcPr>
          <w:p w14:paraId="7CDEF485" w14:textId="40A02106" w:rsidR="00FD4A37" w:rsidRPr="00E15637" w:rsidRDefault="00A40423" w:rsidP="00FD4A37">
            <w:pPr>
              <w:pStyle w:val="TableParagraph"/>
              <w:rPr>
                <w:rFonts w:ascii="Arial" w:hAnsi="Arial" w:cs="Arial"/>
                <w:sz w:val="20"/>
                <w:szCs w:val="20"/>
              </w:rPr>
            </w:pPr>
            <w:r>
              <w:rPr>
                <w:rFonts w:ascii="Arial" w:hAnsi="Arial" w:cs="Arial"/>
                <w:sz w:val="20"/>
                <w:szCs w:val="20"/>
              </w:rPr>
              <w:t>0.5/0.5</w:t>
            </w:r>
          </w:p>
        </w:tc>
      </w:tr>
      <w:tr w:rsidR="00FD4A37" w14:paraId="5DEDA2A3" w14:textId="77777777" w:rsidTr="00FD4A37">
        <w:trPr>
          <w:trHeight w:val="357"/>
        </w:trPr>
        <w:tc>
          <w:tcPr>
            <w:tcW w:w="1555" w:type="dxa"/>
            <w:vMerge w:val="restart"/>
          </w:tcPr>
          <w:p w14:paraId="08B1401B" w14:textId="77777777" w:rsidR="00FD4A37" w:rsidRPr="00E15637" w:rsidRDefault="00FD4A37" w:rsidP="00FD4A37">
            <w:pPr>
              <w:pStyle w:val="TableParagraph"/>
              <w:spacing w:before="1"/>
              <w:rPr>
                <w:rFonts w:ascii="Arial" w:hAnsi="Arial" w:cs="Arial"/>
                <w:sz w:val="20"/>
                <w:szCs w:val="20"/>
              </w:rPr>
            </w:pPr>
          </w:p>
          <w:p w14:paraId="12F50D00" w14:textId="77777777" w:rsidR="00FD4A37" w:rsidRPr="00E15637" w:rsidRDefault="00FD4A37" w:rsidP="00FD4A37">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5E006D86" w14:textId="77777777" w:rsidR="00FD4A37" w:rsidRPr="00E15637" w:rsidRDefault="00FD4A37" w:rsidP="00FD4A37">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176942E" w14:textId="1094CD51"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4D1F9522" w14:textId="0F018C96" w:rsidR="00FD4A37" w:rsidRPr="00596E9D" w:rsidRDefault="00FD4A37" w:rsidP="00FD4A37">
            <w:pPr>
              <w:pStyle w:val="TableParagraph"/>
              <w:rPr>
                <w:rFonts w:ascii="Arial" w:hAnsi="Arial" w:cs="Arial"/>
                <w:sz w:val="20"/>
                <w:szCs w:val="20"/>
              </w:rPr>
            </w:pPr>
            <w:r w:rsidRPr="00596E9D">
              <w:rPr>
                <w:rFonts w:ascii="Arial" w:hAnsi="Arial" w:cs="Arial"/>
                <w:sz w:val="20"/>
                <w:szCs w:val="20"/>
              </w:rPr>
              <w:t>MDT</w:t>
            </w:r>
          </w:p>
        </w:tc>
        <w:tc>
          <w:tcPr>
            <w:tcW w:w="1135" w:type="dxa"/>
          </w:tcPr>
          <w:p w14:paraId="2CC8A1BE" w14:textId="13D06DD1" w:rsidR="00FD4A37" w:rsidRDefault="00FD4A37" w:rsidP="00FD4A37">
            <w:pPr>
              <w:pStyle w:val="TableParagraph"/>
              <w:spacing w:before="87"/>
              <w:ind w:left="132"/>
              <w:rPr>
                <w:rFonts w:ascii="Arial" w:hAnsi="Arial" w:cs="Arial"/>
                <w:sz w:val="20"/>
                <w:szCs w:val="20"/>
              </w:rPr>
            </w:pPr>
            <w:r w:rsidRPr="00E15637">
              <w:rPr>
                <w:rFonts w:ascii="Arial" w:hAnsi="Arial" w:cs="Arial"/>
                <w:sz w:val="20"/>
                <w:szCs w:val="20"/>
              </w:rPr>
              <w:t>DCC</w:t>
            </w:r>
          </w:p>
          <w:p w14:paraId="4FA90CD2" w14:textId="0C8635F3" w:rsidR="00FD4A37" w:rsidRPr="00E15637" w:rsidRDefault="00FD4A37" w:rsidP="00FD4A37">
            <w:pPr>
              <w:pStyle w:val="TableParagraph"/>
              <w:spacing w:before="87"/>
              <w:ind w:left="132"/>
              <w:rPr>
                <w:rFonts w:ascii="Arial" w:hAnsi="Arial" w:cs="Arial"/>
                <w:sz w:val="20"/>
                <w:szCs w:val="20"/>
              </w:rPr>
            </w:pPr>
          </w:p>
        </w:tc>
        <w:tc>
          <w:tcPr>
            <w:tcW w:w="1133" w:type="dxa"/>
          </w:tcPr>
          <w:p w14:paraId="235DBB78" w14:textId="46AB936F"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3316891D" w14:textId="77777777" w:rsidTr="00FD4A37">
        <w:trPr>
          <w:trHeight w:val="357"/>
        </w:trPr>
        <w:tc>
          <w:tcPr>
            <w:tcW w:w="1555" w:type="dxa"/>
            <w:vMerge/>
            <w:tcBorders>
              <w:top w:val="nil"/>
            </w:tcBorders>
          </w:tcPr>
          <w:p w14:paraId="00854254" w14:textId="77777777" w:rsidR="00FD4A37" w:rsidRPr="00E15637" w:rsidRDefault="00FD4A37" w:rsidP="00FD4A37">
            <w:pPr>
              <w:rPr>
                <w:rFonts w:ascii="Arial" w:hAnsi="Arial" w:cs="Arial"/>
                <w:sz w:val="20"/>
                <w:szCs w:val="20"/>
              </w:rPr>
            </w:pPr>
          </w:p>
        </w:tc>
        <w:tc>
          <w:tcPr>
            <w:tcW w:w="583" w:type="dxa"/>
          </w:tcPr>
          <w:p w14:paraId="134E2E57" w14:textId="77777777" w:rsidR="00FD4A37" w:rsidRPr="00E15637" w:rsidRDefault="00FD4A37" w:rsidP="00FD4A37">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9547E53" w14:textId="0AE952EB"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797EF666" w14:textId="102527A8" w:rsidR="00FD4A37" w:rsidRPr="00596E9D" w:rsidRDefault="00FD4A37" w:rsidP="00FD4A37">
            <w:pPr>
              <w:pStyle w:val="TableParagraph"/>
              <w:rPr>
                <w:rFonts w:ascii="Arial" w:hAnsi="Arial" w:cs="Arial"/>
                <w:sz w:val="20"/>
                <w:szCs w:val="20"/>
              </w:rPr>
            </w:pPr>
            <w:r w:rsidRPr="00596E9D">
              <w:rPr>
                <w:rFonts w:ascii="Arial" w:hAnsi="Arial" w:cs="Arial"/>
                <w:sz w:val="20"/>
                <w:szCs w:val="20"/>
              </w:rPr>
              <w:t xml:space="preserve">Admin/ Trainee </w:t>
            </w:r>
            <w:r w:rsidR="00DF0AB6" w:rsidRPr="00596E9D">
              <w:rPr>
                <w:rFonts w:ascii="Arial" w:hAnsi="Arial" w:cs="Arial"/>
                <w:sz w:val="20"/>
                <w:szCs w:val="20"/>
              </w:rPr>
              <w:t>supervision</w:t>
            </w:r>
          </w:p>
        </w:tc>
        <w:tc>
          <w:tcPr>
            <w:tcW w:w="1135" w:type="dxa"/>
          </w:tcPr>
          <w:p w14:paraId="3A57F99D" w14:textId="287A6A6F" w:rsidR="00FD4A37" w:rsidRDefault="00FD4A37" w:rsidP="00FD4A37">
            <w:pPr>
              <w:pStyle w:val="TableParagraph"/>
              <w:spacing w:before="85"/>
              <w:ind w:left="131"/>
              <w:rPr>
                <w:rFonts w:ascii="Arial" w:hAnsi="Arial" w:cs="Arial"/>
                <w:sz w:val="20"/>
                <w:szCs w:val="20"/>
              </w:rPr>
            </w:pPr>
            <w:r w:rsidRPr="00E15637">
              <w:rPr>
                <w:rFonts w:ascii="Arial" w:hAnsi="Arial" w:cs="Arial"/>
                <w:sz w:val="20"/>
                <w:szCs w:val="20"/>
              </w:rPr>
              <w:t>DCC</w:t>
            </w:r>
          </w:p>
          <w:p w14:paraId="16BFB113" w14:textId="3F43D620" w:rsidR="00FD4A37" w:rsidRPr="00E15637" w:rsidRDefault="00FD4A37" w:rsidP="00FD4A37">
            <w:pPr>
              <w:pStyle w:val="TableParagraph"/>
              <w:spacing w:before="85"/>
              <w:ind w:left="131"/>
              <w:rPr>
                <w:rFonts w:ascii="Arial" w:hAnsi="Arial" w:cs="Arial"/>
                <w:sz w:val="20"/>
                <w:szCs w:val="20"/>
              </w:rPr>
            </w:pPr>
          </w:p>
        </w:tc>
        <w:tc>
          <w:tcPr>
            <w:tcW w:w="1133" w:type="dxa"/>
          </w:tcPr>
          <w:p w14:paraId="52F8EFDB" w14:textId="7B51F1DF"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6415D5D0" w14:textId="77777777" w:rsidTr="00FD4A37">
        <w:trPr>
          <w:trHeight w:val="357"/>
        </w:trPr>
        <w:tc>
          <w:tcPr>
            <w:tcW w:w="1555" w:type="dxa"/>
            <w:vMerge w:val="restart"/>
          </w:tcPr>
          <w:p w14:paraId="0296EE3D" w14:textId="77777777" w:rsidR="00FD4A37" w:rsidRPr="00E15637" w:rsidRDefault="00FD4A37" w:rsidP="00FD4A37">
            <w:pPr>
              <w:pStyle w:val="TableParagraph"/>
              <w:spacing w:before="1"/>
              <w:rPr>
                <w:rFonts w:ascii="Arial" w:hAnsi="Arial" w:cs="Arial"/>
                <w:sz w:val="20"/>
                <w:szCs w:val="20"/>
              </w:rPr>
            </w:pPr>
          </w:p>
          <w:p w14:paraId="733E3F52" w14:textId="77777777" w:rsidR="00FD4A37" w:rsidRPr="00E15637" w:rsidRDefault="00FD4A37" w:rsidP="00FD4A37">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6103097" w14:textId="77777777" w:rsidR="00FD4A37" w:rsidRPr="00E15637" w:rsidRDefault="00FD4A37" w:rsidP="00FD4A37">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624EEBE" w14:textId="06909D56"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71E7B959" w14:textId="11D42701" w:rsidR="00FD4A37" w:rsidRPr="00596E9D" w:rsidRDefault="00FD4A37" w:rsidP="00FD4A37">
            <w:pPr>
              <w:pStyle w:val="TableParagraph"/>
              <w:rPr>
                <w:rFonts w:ascii="Arial" w:hAnsi="Arial" w:cs="Arial"/>
                <w:sz w:val="20"/>
                <w:szCs w:val="20"/>
              </w:rPr>
            </w:pPr>
            <w:r w:rsidRPr="00596E9D">
              <w:rPr>
                <w:rFonts w:ascii="Arial" w:hAnsi="Arial" w:cs="Arial"/>
                <w:sz w:val="20"/>
                <w:szCs w:val="20"/>
              </w:rPr>
              <w:t>MDT</w:t>
            </w:r>
          </w:p>
        </w:tc>
        <w:tc>
          <w:tcPr>
            <w:tcW w:w="1135" w:type="dxa"/>
          </w:tcPr>
          <w:p w14:paraId="3A878CA2" w14:textId="001447F0" w:rsidR="00FD4A37" w:rsidRDefault="00FD4A37" w:rsidP="00FD4A37">
            <w:pPr>
              <w:pStyle w:val="TableParagraph"/>
              <w:spacing w:before="85"/>
              <w:ind w:left="132"/>
              <w:rPr>
                <w:rFonts w:ascii="Arial" w:hAnsi="Arial" w:cs="Arial"/>
                <w:sz w:val="20"/>
                <w:szCs w:val="20"/>
              </w:rPr>
            </w:pPr>
            <w:r>
              <w:rPr>
                <w:rFonts w:ascii="Arial" w:hAnsi="Arial" w:cs="Arial"/>
                <w:sz w:val="20"/>
                <w:szCs w:val="20"/>
              </w:rPr>
              <w:t>DCC</w:t>
            </w:r>
          </w:p>
          <w:p w14:paraId="61BE92BA" w14:textId="11B8F824" w:rsidR="00FD4A37" w:rsidRPr="00E15637" w:rsidRDefault="00FD4A37" w:rsidP="00FD4A37">
            <w:pPr>
              <w:pStyle w:val="TableParagraph"/>
              <w:spacing w:before="85"/>
              <w:ind w:left="132"/>
              <w:rPr>
                <w:rFonts w:ascii="Arial" w:hAnsi="Arial" w:cs="Arial"/>
                <w:sz w:val="20"/>
                <w:szCs w:val="20"/>
              </w:rPr>
            </w:pPr>
          </w:p>
        </w:tc>
        <w:tc>
          <w:tcPr>
            <w:tcW w:w="1133" w:type="dxa"/>
          </w:tcPr>
          <w:p w14:paraId="670FCC19" w14:textId="251860E9"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3C6E6203" w14:textId="77777777" w:rsidTr="00FD4A37">
        <w:trPr>
          <w:trHeight w:val="357"/>
        </w:trPr>
        <w:tc>
          <w:tcPr>
            <w:tcW w:w="1555" w:type="dxa"/>
            <w:vMerge/>
            <w:tcBorders>
              <w:top w:val="nil"/>
            </w:tcBorders>
          </w:tcPr>
          <w:p w14:paraId="34B87AA2" w14:textId="77777777" w:rsidR="00FD4A37" w:rsidRPr="00E15637" w:rsidRDefault="00FD4A37" w:rsidP="00FD4A37">
            <w:pPr>
              <w:rPr>
                <w:rFonts w:ascii="Arial" w:hAnsi="Arial" w:cs="Arial"/>
                <w:sz w:val="20"/>
                <w:szCs w:val="20"/>
              </w:rPr>
            </w:pPr>
          </w:p>
        </w:tc>
        <w:tc>
          <w:tcPr>
            <w:tcW w:w="583" w:type="dxa"/>
          </w:tcPr>
          <w:p w14:paraId="24456C2D" w14:textId="77777777" w:rsidR="00FD4A37" w:rsidRPr="00E15637" w:rsidRDefault="00FD4A37" w:rsidP="00FD4A37">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653AD3A" w14:textId="1AAD2160" w:rsidR="00FD4A37" w:rsidRPr="00596E9D" w:rsidRDefault="00FD4A37" w:rsidP="00FD4A37">
            <w:pPr>
              <w:pStyle w:val="TableParagraph"/>
              <w:rPr>
                <w:rFonts w:ascii="Arial" w:hAnsi="Arial" w:cs="Arial"/>
                <w:sz w:val="20"/>
                <w:szCs w:val="20"/>
              </w:rPr>
            </w:pPr>
            <w:r w:rsidRPr="00596E9D">
              <w:rPr>
                <w:rFonts w:ascii="Arial" w:hAnsi="Arial" w:cs="Arial"/>
                <w:sz w:val="20"/>
                <w:szCs w:val="20"/>
              </w:rPr>
              <w:t>Bradgate unit</w:t>
            </w:r>
          </w:p>
        </w:tc>
        <w:tc>
          <w:tcPr>
            <w:tcW w:w="2976" w:type="dxa"/>
          </w:tcPr>
          <w:p w14:paraId="23294A5C" w14:textId="12E91D92" w:rsidR="00FD4A37" w:rsidRPr="00596E9D" w:rsidRDefault="00FD4A37" w:rsidP="00FD4A37">
            <w:pPr>
              <w:pStyle w:val="TableParagraph"/>
              <w:rPr>
                <w:rFonts w:ascii="Arial" w:hAnsi="Arial" w:cs="Arial"/>
                <w:sz w:val="20"/>
                <w:szCs w:val="20"/>
              </w:rPr>
            </w:pPr>
            <w:r w:rsidRPr="00596E9D">
              <w:rPr>
                <w:rFonts w:ascii="Arial" w:hAnsi="Arial" w:cs="Arial"/>
                <w:sz w:val="20"/>
                <w:szCs w:val="20"/>
              </w:rPr>
              <w:t>SPA</w:t>
            </w:r>
          </w:p>
        </w:tc>
        <w:tc>
          <w:tcPr>
            <w:tcW w:w="1135" w:type="dxa"/>
          </w:tcPr>
          <w:p w14:paraId="02167F6C" w14:textId="5C6752ED" w:rsidR="00FD4A37" w:rsidRPr="00E15637" w:rsidRDefault="00FD4A37" w:rsidP="00FD4A37">
            <w:pPr>
              <w:pStyle w:val="TableParagraph"/>
              <w:spacing w:before="85"/>
              <w:ind w:left="131"/>
              <w:rPr>
                <w:rFonts w:ascii="Arial" w:hAnsi="Arial" w:cs="Arial"/>
                <w:sz w:val="20"/>
                <w:szCs w:val="20"/>
              </w:rPr>
            </w:pPr>
            <w:r w:rsidRPr="00E15637">
              <w:rPr>
                <w:rFonts w:ascii="Arial" w:hAnsi="Arial" w:cs="Arial"/>
                <w:sz w:val="20"/>
                <w:szCs w:val="20"/>
              </w:rPr>
              <w:t>SPA</w:t>
            </w:r>
          </w:p>
        </w:tc>
        <w:tc>
          <w:tcPr>
            <w:tcW w:w="1133" w:type="dxa"/>
          </w:tcPr>
          <w:p w14:paraId="3422F71A" w14:textId="334A9041" w:rsidR="00FD4A37" w:rsidRPr="00E15637" w:rsidRDefault="001A2A26" w:rsidP="00FD4A37">
            <w:pPr>
              <w:pStyle w:val="TableParagraph"/>
              <w:rPr>
                <w:rFonts w:ascii="Arial" w:hAnsi="Arial" w:cs="Arial"/>
                <w:sz w:val="20"/>
                <w:szCs w:val="20"/>
              </w:rPr>
            </w:pPr>
            <w:r>
              <w:rPr>
                <w:rFonts w:ascii="Arial" w:hAnsi="Arial" w:cs="Arial"/>
                <w:sz w:val="20"/>
                <w:szCs w:val="20"/>
              </w:rPr>
              <w:t>1</w:t>
            </w:r>
          </w:p>
        </w:tc>
      </w:tr>
      <w:tr w:rsidR="00FD4A37" w14:paraId="5994A0EE" w14:textId="77777777" w:rsidTr="00FD4A37">
        <w:trPr>
          <w:trHeight w:val="846"/>
        </w:trPr>
        <w:tc>
          <w:tcPr>
            <w:tcW w:w="1555" w:type="dxa"/>
          </w:tcPr>
          <w:p w14:paraId="71B2D518" w14:textId="77777777" w:rsidR="00FD4A37" w:rsidRPr="00E15637" w:rsidRDefault="00FD4A37" w:rsidP="00FD4A37">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74A5E8E9" w14:textId="77777777" w:rsidR="00FD4A37" w:rsidRPr="00E15637" w:rsidRDefault="00FD4A37" w:rsidP="00FD4A37">
            <w:pPr>
              <w:pStyle w:val="TableParagraph"/>
              <w:rPr>
                <w:rFonts w:ascii="Arial" w:hAnsi="Arial" w:cs="Arial"/>
                <w:sz w:val="20"/>
                <w:szCs w:val="20"/>
              </w:rPr>
            </w:pPr>
          </w:p>
        </w:tc>
        <w:tc>
          <w:tcPr>
            <w:tcW w:w="1685" w:type="dxa"/>
          </w:tcPr>
          <w:p w14:paraId="1BE521C4" w14:textId="77777777" w:rsidR="00FD4A37" w:rsidRPr="00E15637" w:rsidRDefault="00FD4A37" w:rsidP="00FD4A37">
            <w:pPr>
              <w:pStyle w:val="TableParagraph"/>
              <w:rPr>
                <w:rFonts w:ascii="Arial" w:hAnsi="Arial" w:cs="Arial"/>
                <w:sz w:val="20"/>
                <w:szCs w:val="20"/>
              </w:rPr>
            </w:pPr>
          </w:p>
        </w:tc>
        <w:tc>
          <w:tcPr>
            <w:tcW w:w="2976" w:type="dxa"/>
          </w:tcPr>
          <w:p w14:paraId="404D1E11" w14:textId="77777777" w:rsidR="00FD4A37" w:rsidRPr="00E15637" w:rsidRDefault="00FD4A37" w:rsidP="00FD4A37">
            <w:pPr>
              <w:pStyle w:val="TableParagraph"/>
              <w:rPr>
                <w:rFonts w:ascii="Arial" w:hAnsi="Arial" w:cs="Arial"/>
                <w:sz w:val="20"/>
                <w:szCs w:val="20"/>
              </w:rPr>
            </w:pPr>
          </w:p>
        </w:tc>
        <w:tc>
          <w:tcPr>
            <w:tcW w:w="1135" w:type="dxa"/>
          </w:tcPr>
          <w:p w14:paraId="69873F0D" w14:textId="77777777" w:rsidR="00FD4A37" w:rsidRPr="00E15637" w:rsidRDefault="00FD4A37" w:rsidP="00FD4A37">
            <w:pPr>
              <w:pStyle w:val="TableParagraph"/>
              <w:rPr>
                <w:rFonts w:ascii="Arial" w:hAnsi="Arial" w:cs="Arial"/>
                <w:sz w:val="20"/>
                <w:szCs w:val="20"/>
              </w:rPr>
            </w:pPr>
          </w:p>
        </w:tc>
        <w:tc>
          <w:tcPr>
            <w:tcW w:w="1133" w:type="dxa"/>
          </w:tcPr>
          <w:p w14:paraId="048ABD81" w14:textId="77777777" w:rsidR="00FD4A37" w:rsidRPr="00E15637" w:rsidRDefault="00FD4A37" w:rsidP="00FD4A37">
            <w:pPr>
              <w:pStyle w:val="TableParagraph"/>
              <w:rPr>
                <w:rFonts w:ascii="Arial" w:hAnsi="Arial" w:cs="Arial"/>
                <w:sz w:val="20"/>
                <w:szCs w:val="20"/>
              </w:rPr>
            </w:pPr>
          </w:p>
        </w:tc>
      </w:tr>
      <w:tr w:rsidR="00FD4A37" w14:paraId="2EE6CA0A" w14:textId="77777777" w:rsidTr="00FD4A37">
        <w:trPr>
          <w:trHeight w:val="357"/>
        </w:trPr>
        <w:tc>
          <w:tcPr>
            <w:tcW w:w="1555" w:type="dxa"/>
            <w:vMerge w:val="restart"/>
          </w:tcPr>
          <w:p w14:paraId="35EEA49A" w14:textId="77777777" w:rsidR="00FD4A37" w:rsidRPr="00E15637" w:rsidRDefault="00FD4A37" w:rsidP="00FD4A37">
            <w:pPr>
              <w:pStyle w:val="TableParagraph"/>
              <w:spacing w:before="11"/>
              <w:rPr>
                <w:rFonts w:ascii="Arial" w:hAnsi="Arial" w:cs="Arial"/>
                <w:sz w:val="20"/>
                <w:szCs w:val="20"/>
              </w:rPr>
            </w:pPr>
          </w:p>
          <w:p w14:paraId="1F2D6F21" w14:textId="77777777" w:rsidR="00FD4A37" w:rsidRPr="00E15637" w:rsidRDefault="00FD4A37" w:rsidP="00FD4A37">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2D0D0DE5" w14:textId="77777777" w:rsidR="00FD4A37" w:rsidRPr="00E15637" w:rsidRDefault="00FD4A37" w:rsidP="00FD4A37">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68DAD9EA" w14:textId="309981BA" w:rsidR="00FD4A37" w:rsidRPr="00E15637" w:rsidRDefault="00FD4A37" w:rsidP="00FD4A37">
            <w:pPr>
              <w:pStyle w:val="TableParagraph"/>
              <w:spacing w:before="85"/>
              <w:ind w:left="86" w:right="135"/>
              <w:jc w:val="center"/>
              <w:rPr>
                <w:rFonts w:ascii="Arial" w:hAnsi="Arial" w:cs="Arial"/>
                <w:sz w:val="20"/>
                <w:szCs w:val="20"/>
              </w:rPr>
            </w:pPr>
            <w:r>
              <w:rPr>
                <w:rFonts w:ascii="Arial" w:hAnsi="Arial" w:cs="Arial"/>
                <w:sz w:val="20"/>
                <w:szCs w:val="20"/>
              </w:rPr>
              <w:t>7.5</w:t>
            </w:r>
          </w:p>
        </w:tc>
      </w:tr>
      <w:tr w:rsidR="00FD4A37" w14:paraId="06F9A80C" w14:textId="77777777" w:rsidTr="00FD4A37">
        <w:trPr>
          <w:trHeight w:val="357"/>
        </w:trPr>
        <w:tc>
          <w:tcPr>
            <w:tcW w:w="1555" w:type="dxa"/>
            <w:vMerge/>
            <w:tcBorders>
              <w:top w:val="nil"/>
            </w:tcBorders>
          </w:tcPr>
          <w:p w14:paraId="66E1A7EA" w14:textId="77777777" w:rsidR="00FD4A37" w:rsidRPr="00E15637" w:rsidRDefault="00FD4A37" w:rsidP="00FD4A37">
            <w:pPr>
              <w:rPr>
                <w:rFonts w:ascii="Arial" w:hAnsi="Arial" w:cs="Arial"/>
                <w:sz w:val="20"/>
                <w:szCs w:val="20"/>
              </w:rPr>
            </w:pPr>
          </w:p>
        </w:tc>
        <w:tc>
          <w:tcPr>
            <w:tcW w:w="6379" w:type="dxa"/>
            <w:gridSpan w:val="4"/>
          </w:tcPr>
          <w:p w14:paraId="79F3A461" w14:textId="77777777" w:rsidR="00FD4A37" w:rsidRPr="00E15637" w:rsidRDefault="00FD4A37" w:rsidP="00FD4A37">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12F61E6B" w14:textId="1B11760D" w:rsidR="00FD4A37" w:rsidRPr="00E15637" w:rsidRDefault="00FD4A37" w:rsidP="00FD4A37">
            <w:pPr>
              <w:pStyle w:val="TableParagraph"/>
              <w:spacing w:before="85"/>
              <w:ind w:left="86" w:right="135"/>
              <w:jc w:val="center"/>
              <w:rPr>
                <w:rFonts w:ascii="Arial" w:hAnsi="Arial" w:cs="Arial"/>
                <w:sz w:val="20"/>
                <w:szCs w:val="20"/>
              </w:rPr>
            </w:pPr>
            <w:r>
              <w:rPr>
                <w:rFonts w:ascii="Arial" w:hAnsi="Arial" w:cs="Arial"/>
                <w:sz w:val="20"/>
                <w:szCs w:val="20"/>
              </w:rPr>
              <w:t>2.5</w:t>
            </w:r>
          </w:p>
        </w:tc>
      </w:tr>
    </w:tbl>
    <w:p w14:paraId="706EE4A9" w14:textId="77777777" w:rsidR="00915B4B" w:rsidRDefault="00915B4B" w:rsidP="00915B4B">
      <w:pPr>
        <w:spacing w:after="0" w:line="240" w:lineRule="auto"/>
        <w:jc w:val="both"/>
        <w:rPr>
          <w:rFonts w:ascii="Arial" w:hAnsi="Arial" w:cs="Arial"/>
        </w:rPr>
      </w:pPr>
    </w:p>
    <w:p w14:paraId="12036B0D" w14:textId="689D2A5B" w:rsidR="00915B4B" w:rsidRPr="00927E4E" w:rsidRDefault="00915B4B" w:rsidP="00915B4B">
      <w:pPr>
        <w:spacing w:after="0" w:line="240" w:lineRule="auto"/>
        <w:jc w:val="both"/>
        <w:rPr>
          <w:rFonts w:ascii="Arial" w:hAnsi="Arial" w:cs="Arial"/>
        </w:rPr>
      </w:pPr>
      <w:r w:rsidRPr="0058734B">
        <w:rPr>
          <w:rFonts w:ascii="Arial" w:hAnsi="Arial" w:cs="Arial"/>
        </w:rPr>
        <w:t>This role includes 0.5 SPAs to support two hours of undergraduate teaching time per week. This teaching can occur in different settings. The clinical teacher will be expected to show evidence of satisfactory performance in this role at appraisal.</w:t>
      </w:r>
    </w:p>
    <w:p w14:paraId="55F1FD5D" w14:textId="3F91CA3A" w:rsidR="00E15637" w:rsidRDefault="00E15637" w:rsidP="000C115D">
      <w:pPr>
        <w:spacing w:after="0" w:line="240" w:lineRule="auto"/>
        <w:rPr>
          <w:rFonts w:ascii="Arial" w:eastAsia="Times New Roman" w:hAnsi="Arial" w:cs="Arial"/>
          <w:lang w:eastAsia="en-GB"/>
        </w:rPr>
      </w:pPr>
    </w:p>
    <w:bookmarkEnd w:id="1"/>
    <w:p w14:paraId="00CCDF33" w14:textId="620F8040" w:rsidR="00FF01D4" w:rsidRDefault="008B2523" w:rsidP="008B2523">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The job plan will then be reviewed annually, following the Appraisal meeting or more frequently when there are changes in regard to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30AAB7F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There are no formal management or leadership responsibilities attached to this role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participate in service evaluation and information gathering exercises designed to gain a better understanding of the functioning of the service in order to monitor performance and underpin future service development.</w:t>
      </w:r>
    </w:p>
    <w:p w14:paraId="733BB8EE" w14:textId="77777777" w:rsidR="00915B4B" w:rsidRDefault="00915B4B" w:rsidP="0092726F">
      <w:pPr>
        <w:rPr>
          <w:rFonts w:ascii="Arial" w:hAnsi="Arial" w:cs="Arial"/>
          <w:b/>
        </w:rPr>
      </w:pPr>
    </w:p>
    <w:p w14:paraId="0B0B4545" w14:textId="77777777" w:rsidR="00915B4B" w:rsidRDefault="00915B4B" w:rsidP="0092726F">
      <w:pPr>
        <w:rPr>
          <w:rFonts w:ascii="Arial" w:hAnsi="Arial" w:cs="Arial"/>
          <w:b/>
        </w:rPr>
      </w:pPr>
    </w:p>
    <w:p w14:paraId="54E0AB06" w14:textId="77777777" w:rsidR="00915B4B" w:rsidRDefault="00915B4B" w:rsidP="0092726F">
      <w:pPr>
        <w:rPr>
          <w:rFonts w:ascii="Arial" w:hAnsi="Arial" w:cs="Arial"/>
          <w:b/>
        </w:rPr>
      </w:pPr>
    </w:p>
    <w:p w14:paraId="7EAB93B5" w14:textId="4A6D0EE1"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146E07FE" w14:textId="77777777" w:rsidR="00AB5EA5" w:rsidRPr="00562AF3" w:rsidRDefault="00AB5EA5"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2" w:name="_Hlk85112913"/>
      <w:r>
        <w:rPr>
          <w:rFonts w:ascii="Arial" w:eastAsia="Times New Roman" w:hAnsi="Arial" w:cs="Arial"/>
        </w:rPr>
        <w:t>The Trust has a dedicated Education Centre near to the Bradgate Mental Health Unit on the Glenfield Hospital site.</w:t>
      </w:r>
    </w:p>
    <w:bookmarkEnd w:id="2"/>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77777777"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University of Leicester follow a standard 5 year programme.  .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3CFF5D01" w14:textId="69470E0B" w:rsidR="00D36CC6" w:rsidRPr="00927E4E" w:rsidRDefault="00D36CC6" w:rsidP="00D36CC6">
      <w:pPr>
        <w:pStyle w:val="Default"/>
        <w:rPr>
          <w:rFonts w:ascii="Arial" w:hAnsi="Arial" w:cs="Arial"/>
          <w:sz w:val="22"/>
          <w:szCs w:val="22"/>
        </w:rPr>
      </w:pPr>
      <w:r w:rsidRPr="00927E4E">
        <w:rPr>
          <w:rFonts w:ascii="Arial" w:eastAsia="Times New Roman" w:hAnsi="Arial" w:cs="Arial"/>
          <w:sz w:val="22"/>
          <w:szCs w:val="22"/>
          <w:lang w:eastAsia="en-GB"/>
        </w:rPr>
        <w:t>In addition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2B9FC130" w14:textId="77777777" w:rsidR="00D36CC6" w:rsidRPr="00927E4E" w:rsidRDefault="00D36CC6" w:rsidP="00D36CC6">
      <w:pPr>
        <w:pStyle w:val="Default"/>
        <w:rPr>
          <w:rFonts w:ascii="Arial" w:hAnsi="Arial" w:cs="Arial"/>
          <w:sz w:val="22"/>
          <w:szCs w:val="22"/>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Pr="00927E4E"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83F9DCC" w14:textId="77777777" w:rsidR="00D36CC6" w:rsidRDefault="00D36CC6" w:rsidP="00D36CC6">
      <w:pPr>
        <w:jc w:val="both"/>
        <w:rPr>
          <w:rFonts w:ascii="Arial" w:hAnsi="Arial" w:cs="Arial"/>
        </w:rPr>
      </w:pPr>
    </w:p>
    <w:p w14:paraId="4B9573E6" w14:textId="77777777" w:rsidR="00D36CC6" w:rsidRPr="00927E4E" w:rsidRDefault="00D36CC6" w:rsidP="00D36CC6">
      <w:pPr>
        <w:jc w:val="both"/>
        <w:rPr>
          <w:rFonts w:ascii="Arial" w:hAnsi="Arial" w:cs="Arial"/>
        </w:rPr>
      </w:pPr>
      <w:r w:rsidRPr="00927E4E">
        <w:rPr>
          <w:rFonts w:ascii="Arial" w:hAnsi="Arial" w:cs="Arial"/>
        </w:rPr>
        <w:lastRenderedPageBreak/>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lead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group, and will take part in appraisal, and be in good standing for CPD with the</w:t>
      </w:r>
      <w:r w:rsidRPr="00DE1097">
        <w:rPr>
          <w:rFonts w:ascii="Arial" w:eastAsia="Times New Roman" w:hAnsi="Arial" w:cs="Arial"/>
          <w:lang w:eastAsia="en-GB"/>
        </w:rPr>
        <w:t xml:space="preserve"> Royal College of Psychiatrists. The post holder will have access to study leave, and funding for appropriate courses, as agreed </w:t>
      </w:r>
      <w:r w:rsidRPr="0092726F">
        <w:rPr>
          <w:rFonts w:ascii="Arial" w:eastAsia="Times New Roman" w:hAnsi="Arial" w:cs="Arial"/>
          <w:lang w:eastAsia="en-GB"/>
        </w:rPr>
        <w:t xml:space="preserve">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Default="001A1669" w:rsidP="001A1669">
      <w:pPr>
        <w:spacing w:after="0" w:line="240" w:lineRule="auto"/>
        <w:jc w:val="both"/>
        <w:rPr>
          <w:rFonts w:ascii="Arial" w:eastAsia="Times New Roman" w:hAnsi="Arial" w:cs="Arial"/>
          <w:color w:val="000000"/>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and there is an allowance of 30 days over a three year period to support CPD.</w:t>
      </w:r>
      <w:r w:rsidR="0047794D">
        <w:rPr>
          <w:rFonts w:ascii="Arial" w:eastAsia="Times New Roman" w:hAnsi="Arial" w:cs="Arial"/>
          <w:color w:val="000000"/>
        </w:rPr>
        <w:t xml:space="preserve">  The Trust study leave fund and policy is managed by the Medical CPD Committee</w:t>
      </w:r>
      <w:r w:rsidR="00FF7711">
        <w:rPr>
          <w:rFonts w:ascii="Arial" w:eastAsia="Times New Roman" w:hAnsi="Arial" w:cs="Arial"/>
          <w:color w:val="000000"/>
        </w:rPr>
        <w:t xml:space="preserve"> to include Consultant reps from each service area.</w:t>
      </w:r>
    </w:p>
    <w:p w14:paraId="2F231B41" w14:textId="77777777" w:rsidR="00E730AD" w:rsidRDefault="00E730AD" w:rsidP="001A1669">
      <w:pPr>
        <w:spacing w:after="0" w:line="240" w:lineRule="auto"/>
        <w:jc w:val="both"/>
        <w:rPr>
          <w:rFonts w:ascii="Arial" w:eastAsia="Times New Roman" w:hAnsi="Arial" w:cs="Arial"/>
          <w:color w:val="000000"/>
        </w:rPr>
      </w:pPr>
    </w:p>
    <w:p w14:paraId="5D4DD80E" w14:textId="43D9CC4D" w:rsidR="00E730AD" w:rsidRPr="001A1669" w:rsidRDefault="00E730AD" w:rsidP="001A1669">
      <w:pPr>
        <w:spacing w:after="0" w:line="240" w:lineRule="auto"/>
        <w:jc w:val="both"/>
        <w:rPr>
          <w:rFonts w:ascii="Arial" w:eastAsia="Times New Roman" w:hAnsi="Arial" w:cs="Arial"/>
        </w:rPr>
      </w:pPr>
      <w:r>
        <w:rPr>
          <w:rFonts w:ascii="Arial" w:eastAsia="Times New Roman" w:hAnsi="Arial" w:cs="Arial"/>
          <w:color w:val="000000"/>
        </w:rPr>
        <w:t xml:space="preserve">There is the potential to arrange sessions in areas of special interest according to clinical demand and dependent on sufficient medical cover. This can be discussed with your line manager as part of the job planning meeting. </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LPT considers research to be core business for the organisation, and is committed to providing opportunities to both develop, host and collaborate in high quality research as a key driver in improving patient care and outcomes and to help us “Step Up To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Swithland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Research and development is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22D2719C" w14:textId="78B78FC9" w:rsidR="00E15637" w:rsidRDefault="00E15637">
      <w:pPr>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p To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Masters in Quality and Safety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t>We have strong links with colleagues from the University of Leicester and the Masters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lastRenderedPageBreak/>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The Trust has a larg</w:t>
      </w:r>
      <w:r>
        <w:rPr>
          <w:rFonts w:ascii="Arial" w:eastAsia="Times New Roman" w:hAnsi="Arial" w:cs="Arial"/>
          <w:lang w:eastAsia="en-GB"/>
        </w:rPr>
        <w:t xml:space="preserve">e number of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440637D5"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915B4B">
        <w:rPr>
          <w:rFonts w:ascii="Arial" w:eastAsia="Times New Roman" w:hAnsi="Arial" w:cs="Arial"/>
          <w:lang w:eastAsia="en-GB"/>
        </w:rPr>
        <w:t>5</w:t>
      </w:r>
      <w:r w:rsidR="003650A7">
        <w:rPr>
          <w:rFonts w:ascii="Arial" w:eastAsia="Times New Roman" w:hAnsi="Arial" w:cs="Arial"/>
          <w:lang w:eastAsia="en-GB"/>
        </w:rPr>
        <w:t xml:space="preserve"> is £</w:t>
      </w:r>
      <w:r w:rsidR="00AB5EA5">
        <w:rPr>
          <w:rFonts w:ascii="Arial" w:eastAsia="Times New Roman" w:hAnsi="Arial" w:cs="Arial"/>
          <w:lang w:eastAsia="en-GB"/>
        </w:rPr>
        <w:t>10</w:t>
      </w:r>
      <w:r w:rsidR="00915B4B">
        <w:rPr>
          <w:rFonts w:ascii="Arial" w:eastAsia="Times New Roman" w:hAnsi="Arial" w:cs="Arial"/>
          <w:lang w:eastAsia="en-GB"/>
        </w:rPr>
        <w:t>9,725</w:t>
      </w:r>
      <w:r w:rsidRPr="001A1669">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Entitlement will be 32 days per annum for whole time Consultants, increasing to 34 days on completion of 7 years’ service as a Consultant.  In addition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are able to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Health and well-being activities take place throughout the year with focus on different areas – alcohol awareness, health eating, psychological well-being, menopause, anti-</w:t>
      </w:r>
      <w:r w:rsidR="00D46C4E">
        <w:rPr>
          <w:rFonts w:ascii="Arial" w:eastAsia="Times New Roman" w:hAnsi="Arial" w:cs="Arial"/>
          <w:lang w:eastAsia="en-GB"/>
        </w:rPr>
        <w:lastRenderedPageBreak/>
        <w:t xml:space="preserve">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a distance of 40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4553112B" w14:textId="629BF715" w:rsidR="00392F0A" w:rsidRPr="00392F0A" w:rsidRDefault="00392F0A" w:rsidP="00392F0A">
      <w:pPr>
        <w:spacing w:after="0" w:line="240" w:lineRule="auto"/>
        <w:rPr>
          <w:rFonts w:ascii="Arial" w:hAnsi="Arial" w:cs="Arial"/>
          <w:b/>
          <w:bCs/>
        </w:rPr>
      </w:pPr>
      <w:r>
        <w:rPr>
          <w:rFonts w:ascii="Arial" w:hAnsi="Arial" w:cs="Arial"/>
          <w:b/>
          <w:bCs/>
        </w:rPr>
        <w:t>Coronavirus Regulations</w:t>
      </w:r>
    </w:p>
    <w:p w14:paraId="7ED4BAF5" w14:textId="2E83F554" w:rsidR="00392F0A" w:rsidRPr="00392F0A" w:rsidRDefault="00392F0A" w:rsidP="00392F0A">
      <w:pPr>
        <w:spacing w:after="0" w:line="240" w:lineRule="auto"/>
        <w:rPr>
          <w:rFonts w:ascii="Arial" w:hAnsi="Arial" w:cs="Arial"/>
        </w:rPr>
      </w:pPr>
      <w:r w:rsidRPr="00392F0A">
        <w:rPr>
          <w:rFonts w:ascii="Arial" w:hAnsi="Arial" w:cs="Arial"/>
        </w:rPr>
        <w:t xml:space="preserve">The Health and Social Care Act 2008 (Regulated Activities) (Amendment) (Coronavirus) Regulations 2021 (the Regulations) require all staff working in care homes to be up to date with their COVID vaccination status from 11 November 2021.  If these Regulations are relevant to the role that this </w:t>
      </w:r>
      <w:r w:rsidR="00BA1602">
        <w:rPr>
          <w:rFonts w:ascii="Arial" w:hAnsi="Arial" w:cs="Arial"/>
        </w:rPr>
        <w:t>post</w:t>
      </w:r>
      <w:r w:rsidRPr="00392F0A">
        <w:rPr>
          <w:rFonts w:ascii="Arial" w:hAnsi="Arial" w:cs="Arial"/>
        </w:rPr>
        <w:t xml:space="preserve"> relates to, you will be required to provide evidence that your COVID vaccination status is up to date unless you have a valid exemption.</w:t>
      </w: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Adults, and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post holder must be familiar with and comply with the all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Accurate and kept up-to-date</w:t>
      </w:r>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With the increased use of information technology and e-communications, staff should also be aware that safe guards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Only use it when absolutely necessary</w:t>
            </w:r>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whether or not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The post holder may be required to work at any of the other sites within LPT subject to consultation.  LPT has to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4F2830D2"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lastRenderedPageBreak/>
        <w:t xml:space="preserve">Candidates are actively encouraged to discuss the post or arrange to visit the Service by contacting </w:t>
      </w:r>
      <w:r w:rsidR="001A2A26">
        <w:rPr>
          <w:rFonts w:ascii="Arial" w:eastAsia="Times New Roman" w:hAnsi="Arial" w:cs="Arial"/>
          <w:color w:val="000000"/>
          <w:lang w:eastAsia="en-GB"/>
        </w:rPr>
        <w:t>the following</w:t>
      </w:r>
      <w:r w:rsidRPr="001A1669">
        <w:rPr>
          <w:rFonts w:ascii="Arial" w:eastAsia="Times New Roman" w:hAnsi="Arial" w:cs="Arial"/>
          <w:color w:val="000000"/>
          <w:lang w:eastAsia="en-GB"/>
        </w:rPr>
        <w:t xml:space="preserve">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638A62B0" w14:textId="374F5209" w:rsidR="00CD0B7F" w:rsidRDefault="00CD0B7F" w:rsidP="001A1669">
      <w:pPr>
        <w:spacing w:after="0" w:line="240" w:lineRule="auto"/>
        <w:jc w:val="both"/>
        <w:rPr>
          <w:rFonts w:ascii="Arial" w:eastAsia="Times New Roman" w:hAnsi="Arial" w:cs="Arial"/>
          <w:color w:val="FF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tblGrid>
      <w:tr w:rsidR="001A2A26" w14:paraId="107E6847" w14:textId="77777777" w:rsidTr="001A2A26">
        <w:tc>
          <w:tcPr>
            <w:tcW w:w="4527" w:type="dxa"/>
            <w:tcBorders>
              <w:top w:val="single" w:sz="4" w:space="0" w:color="auto"/>
              <w:left w:val="single" w:sz="4" w:space="0" w:color="auto"/>
              <w:bottom w:val="single" w:sz="4" w:space="0" w:color="auto"/>
              <w:right w:val="single" w:sz="4" w:space="0" w:color="auto"/>
            </w:tcBorders>
          </w:tcPr>
          <w:p w14:paraId="60DD0CB3" w14:textId="4A8A2364" w:rsidR="001A2A26" w:rsidRDefault="001A2A26" w:rsidP="00346E5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Dr </w:t>
            </w:r>
            <w:r w:rsidR="00063F93">
              <w:rPr>
                <w:rFonts w:ascii="Arial" w:eastAsia="Times New Roman" w:hAnsi="Arial" w:cs="Times New Roman"/>
                <w:szCs w:val="20"/>
              </w:rPr>
              <w:t>Mark McConnochie</w:t>
            </w:r>
          </w:p>
          <w:p w14:paraId="1B3D20D9" w14:textId="0A5B740C" w:rsidR="001A2A26" w:rsidRDefault="001A2A26" w:rsidP="00346E5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Consultant Psychiatrist / </w:t>
            </w:r>
            <w:r w:rsidR="00063F93">
              <w:rPr>
                <w:rFonts w:ascii="Arial" w:eastAsia="Times New Roman" w:hAnsi="Arial" w:cs="Times New Roman"/>
                <w:szCs w:val="20"/>
              </w:rPr>
              <w:t>Clinical Director for Urgent Care Services</w:t>
            </w:r>
          </w:p>
          <w:p w14:paraId="1321E067" w14:textId="77777777" w:rsidR="001A2A26" w:rsidRDefault="001A2A26" w:rsidP="00346E5F">
            <w:pPr>
              <w:tabs>
                <w:tab w:val="left" w:pos="720"/>
                <w:tab w:val="left" w:pos="5760"/>
              </w:tabs>
              <w:spacing w:after="0" w:line="240" w:lineRule="auto"/>
              <w:rPr>
                <w:rFonts w:ascii="Arial" w:eastAsia="Times New Roman" w:hAnsi="Arial" w:cs="Times New Roman"/>
                <w:szCs w:val="20"/>
              </w:rPr>
            </w:pPr>
          </w:p>
          <w:p w14:paraId="15AA9268" w14:textId="42AF7E29" w:rsidR="001A2A26" w:rsidRPr="00AB5EA5" w:rsidRDefault="001A2A26" w:rsidP="00346E5F">
            <w:pPr>
              <w:tabs>
                <w:tab w:val="left" w:pos="720"/>
                <w:tab w:val="left" w:pos="5760"/>
              </w:tabs>
              <w:spacing w:after="0" w:line="240" w:lineRule="auto"/>
              <w:rPr>
                <w:rFonts w:ascii="Arial" w:eastAsia="Times New Roman" w:hAnsi="Arial" w:cs="Arial"/>
                <w:szCs w:val="20"/>
              </w:rPr>
            </w:pPr>
            <w:r>
              <w:rPr>
                <w:rFonts w:ascii="Arial" w:eastAsia="Times New Roman" w:hAnsi="Arial" w:cs="Times New Roman"/>
                <w:szCs w:val="20"/>
              </w:rPr>
              <w:t xml:space="preserve">Tel: 0116 </w:t>
            </w:r>
            <w:r w:rsidR="00063F93">
              <w:rPr>
                <w:rFonts w:ascii="Arial" w:eastAsia="Times New Roman" w:hAnsi="Arial" w:cs="Times New Roman"/>
                <w:szCs w:val="20"/>
              </w:rPr>
              <w:t>225 6000</w:t>
            </w:r>
          </w:p>
          <w:p w14:paraId="4BBF6218" w14:textId="61B68A29" w:rsidR="001A2A26" w:rsidRDefault="001A2A26" w:rsidP="00346E5F">
            <w:pPr>
              <w:tabs>
                <w:tab w:val="left" w:pos="720"/>
                <w:tab w:val="left" w:pos="5760"/>
              </w:tabs>
              <w:spacing w:after="0" w:line="240" w:lineRule="auto"/>
              <w:rPr>
                <w:rFonts w:ascii="Arial" w:eastAsia="Times New Roman" w:hAnsi="Arial" w:cs="Times New Roman"/>
                <w:szCs w:val="20"/>
              </w:rPr>
            </w:pPr>
            <w:r w:rsidRPr="00AB5EA5">
              <w:rPr>
                <w:rFonts w:ascii="Arial" w:eastAsia="Times New Roman" w:hAnsi="Arial" w:cs="Arial"/>
                <w:szCs w:val="20"/>
              </w:rPr>
              <w:t xml:space="preserve">Email: </w:t>
            </w:r>
            <w:hyperlink r:id="rId13" w:history="1">
              <w:r w:rsidR="00807455" w:rsidRPr="00710DC8">
                <w:rPr>
                  <w:rStyle w:val="Hyperlink"/>
                  <w:rFonts w:ascii="Arial" w:eastAsia="Times New Roman" w:hAnsi="Arial" w:cs="Arial"/>
                  <w:szCs w:val="20"/>
                </w:rPr>
                <w:t>Ma</w:t>
              </w:r>
              <w:r w:rsidR="00807455" w:rsidRPr="00710DC8">
                <w:rPr>
                  <w:rStyle w:val="Hyperlink"/>
                  <w:rFonts w:ascii="Arial" w:hAnsi="Arial" w:cs="Arial"/>
                </w:rPr>
                <w:t>rk.McConnochie@nhs.net</w:t>
              </w:r>
            </w:hyperlink>
            <w:r>
              <w:rPr>
                <w:rFonts w:ascii="Arial" w:eastAsia="Times New Roman" w:hAnsi="Arial" w:cs="Times New Roman"/>
                <w:szCs w:val="20"/>
              </w:rPr>
              <w:t xml:space="preserve">  </w:t>
            </w:r>
          </w:p>
          <w:p w14:paraId="0823030C" w14:textId="77777777" w:rsidR="001A2A26" w:rsidRDefault="001A2A26" w:rsidP="00346E5F">
            <w:pPr>
              <w:tabs>
                <w:tab w:val="left" w:pos="720"/>
                <w:tab w:val="left" w:pos="5760"/>
              </w:tabs>
              <w:spacing w:after="0" w:line="240" w:lineRule="auto"/>
              <w:rPr>
                <w:rFonts w:ascii="Arial" w:eastAsia="Times New Roman" w:hAnsi="Arial" w:cs="Times New Roman"/>
                <w:szCs w:val="20"/>
                <w:highlight w:val="yellow"/>
              </w:rPr>
            </w:pPr>
          </w:p>
        </w:tc>
      </w:tr>
    </w:tbl>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35141824"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EEEFC4F" w14:textId="11525DBC"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1FE2B284" w14:textId="56E734C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7EE1041E" w14:textId="1967F1D4"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3B52077" w14:textId="16AB55E4"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60ACB71" w14:textId="272B900F"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D425967" w14:textId="056CA8F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349B2928" w14:textId="3F86AF0F"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CF6AFE3" w14:textId="0EC65E5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6B1E4FBA" w14:textId="04E572C8"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71711ED2" w14:textId="1BB85906"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A3C030A" w14:textId="3B4D5187"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03D790B" w14:textId="71595C08"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C2C9239" w14:textId="24F25D2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0ECE08A" w14:textId="1A6EBE2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582154C" w14:textId="0A77C0E5"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F2FB678" w14:textId="5477EE4D"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17FDD3DC" w14:textId="7FB54C7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6943CEF1" w14:textId="6966DFAC"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7E53F12F"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6097C767"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090F4E33"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117FF506"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72EE7EAB"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03D26ACE"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5D4452EF"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127A1EAD"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42BA6F5D"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473235FC"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05222D91"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6AFC5D8F"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44B6FBEF"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06B94D09"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0CAA4A57"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2504835B"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01A3D0D2"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731C5BFE"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46DE7AC4"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29614DBF" w14:textId="77777777" w:rsidR="00915B4B" w:rsidRDefault="00915B4B" w:rsidP="00AB48A7">
      <w:pPr>
        <w:spacing w:after="0" w:line="240" w:lineRule="auto"/>
        <w:jc w:val="right"/>
        <w:rPr>
          <w:rFonts w:ascii="Arial" w:eastAsia="Times New Roman" w:hAnsi="Arial" w:cs="Times New Roman"/>
          <w:b/>
          <w:bCs/>
          <w:color w:val="000000"/>
          <w:sz w:val="24"/>
          <w:szCs w:val="20"/>
          <w:lang w:eastAsia="en-GB"/>
        </w:rPr>
      </w:pPr>
    </w:p>
    <w:p w14:paraId="6D554C64" w14:textId="7C609A8D"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11607BD" w14:textId="6533A284"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8EE9F63" w14:textId="45654EFD"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5A941853" w14:textId="7E760EE0"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1225A8B4" w14:textId="49C5C8A6"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3AF582E" w14:textId="38D6A850"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1E03E978" w14:textId="1720635C"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50906DD4" w14:textId="4FD23AB4"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lastRenderedPageBreak/>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5F0727D2" w:rsidR="003265B8" w:rsidRDefault="003265B8" w:rsidP="003265B8">
      <w:pPr>
        <w:spacing w:after="0" w:line="240" w:lineRule="auto"/>
        <w:rPr>
          <w:rFonts w:ascii="Arial" w:hAnsi="Arial" w:cs="Arial"/>
        </w:rPr>
      </w:pPr>
    </w:p>
    <w:p w14:paraId="308F8ED0" w14:textId="0E668E24" w:rsidR="007A2D9D" w:rsidRDefault="007A2D9D" w:rsidP="003265B8">
      <w:pPr>
        <w:spacing w:after="0" w:line="240" w:lineRule="auto"/>
        <w:rPr>
          <w:rFonts w:ascii="Arial" w:hAnsi="Arial" w:cs="Arial"/>
        </w:rPr>
      </w:pPr>
    </w:p>
    <w:p w14:paraId="0F67C6FC" w14:textId="1B49651A" w:rsidR="007A2D9D" w:rsidRDefault="007A2D9D" w:rsidP="003265B8">
      <w:pPr>
        <w:spacing w:after="0" w:line="240" w:lineRule="auto"/>
        <w:rPr>
          <w:rFonts w:ascii="Arial" w:hAnsi="Arial" w:cs="Arial"/>
        </w:rPr>
      </w:pPr>
    </w:p>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Coalville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lastRenderedPageBreak/>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lastRenderedPageBreak/>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p w14:paraId="3F2AF2B6" w14:textId="77777777" w:rsidR="00AB48A7" w:rsidRPr="00AB48A7" w:rsidRDefault="00AB48A7" w:rsidP="00AB48A7">
      <w:pPr>
        <w:spacing w:before="240" w:after="60" w:line="240" w:lineRule="auto"/>
        <w:jc w:val="right"/>
        <w:outlineLvl w:val="6"/>
        <w:rPr>
          <w:rFonts w:ascii="Arial" w:eastAsia="Arial Unicode MS" w:hAnsi="Arial" w:cs="Arial"/>
          <w:b/>
          <w:color w:val="000000"/>
          <w:szCs w:val="24"/>
          <w:u w:val="single"/>
          <w:lang w:eastAsia="en-GB"/>
        </w:rPr>
      </w:pPr>
      <w:r w:rsidRPr="00AB48A7">
        <w:rPr>
          <w:rFonts w:ascii="Arial" w:eastAsia="Arial Unicode MS" w:hAnsi="Arial" w:cs="Arial"/>
          <w:b/>
          <w:color w:val="000000"/>
          <w:szCs w:val="24"/>
          <w:u w:val="single"/>
          <w:lang w:eastAsia="en-GB"/>
        </w:rPr>
        <w:t xml:space="preserve">APPENDIX </w:t>
      </w:r>
      <w:r w:rsidR="00DA0838">
        <w:rPr>
          <w:rFonts w:ascii="Arial" w:eastAsia="Arial Unicode MS" w:hAnsi="Arial" w:cs="Arial"/>
          <w:b/>
          <w:color w:val="000000"/>
          <w:szCs w:val="24"/>
          <w:u w:val="single"/>
          <w:lang w:eastAsia="en-GB"/>
        </w:rPr>
        <w:t>3</w:t>
      </w:r>
    </w:p>
    <w:p w14:paraId="6DAE11BF" w14:textId="77777777" w:rsidR="009753C4" w:rsidRPr="00D85BA1" w:rsidRDefault="009753C4" w:rsidP="009753C4">
      <w:pPr>
        <w:spacing w:after="0" w:line="240" w:lineRule="auto"/>
        <w:jc w:val="center"/>
        <w:rPr>
          <w:rFonts w:ascii="Arial" w:eastAsia="Times New Roman" w:hAnsi="Arial" w:cs="Arial"/>
          <w:b/>
          <w:sz w:val="32"/>
          <w:szCs w:val="32"/>
          <w:lang w:eastAsia="en-GB"/>
        </w:rPr>
      </w:pPr>
      <w:r w:rsidRPr="00D85BA1">
        <w:rPr>
          <w:rFonts w:ascii="Arial" w:eastAsia="Times New Roman" w:hAnsi="Arial" w:cs="Arial"/>
          <w:b/>
          <w:sz w:val="32"/>
          <w:szCs w:val="32"/>
          <w:lang w:eastAsia="en-GB"/>
        </w:rPr>
        <w:t>University of Leicester</w:t>
      </w:r>
    </w:p>
    <w:p w14:paraId="61F5ADC7" w14:textId="77777777" w:rsidR="00AB5EA5" w:rsidRDefault="00AB5EA5" w:rsidP="00AB5EA5">
      <w:pPr>
        <w:jc w:val="both"/>
        <w:rPr>
          <w:rFonts w:ascii="Calibri" w:eastAsia="Calibri" w:hAnsi="Calibri" w:cs="Times New Roman"/>
        </w:rPr>
      </w:pPr>
      <w:r>
        <w:rPr>
          <w:rFonts w:ascii="Arial" w:hAnsi="Arial" w:cs="Arial"/>
          <w:b/>
        </w:rPr>
        <w:t xml:space="preserve">College of Life Sciences </w:t>
      </w:r>
      <w:hyperlink w:history="1">
        <w:r>
          <w:rPr>
            <w:rStyle w:val="Hyperlink"/>
            <w:rFonts w:ascii="Arial" w:hAnsi="Arial" w:cs="Arial"/>
          </w:rPr>
          <w:t>http://www2.le.ac.uk/colleges/medbiopsych</w:t>
        </w:r>
      </w:hyperlink>
    </w:p>
    <w:p w14:paraId="291887AE" w14:textId="77777777" w:rsidR="00AB5EA5" w:rsidRDefault="00AB5EA5" w:rsidP="00AB5EA5">
      <w:pPr>
        <w:jc w:val="both"/>
      </w:pPr>
      <w:r>
        <w:rPr>
          <w:rFonts w:ascii="Arial" w:hAnsi="Arial" w:cs="Arial"/>
          <w:b/>
          <w:bCs/>
          <w:i/>
        </w:rPr>
        <w:t>Pro Vice-Chancellor, Head of College and Dean of Medicine:</w:t>
      </w:r>
      <w:r>
        <w:rPr>
          <w:rFonts w:ascii="Arial" w:hAnsi="Arial" w:cs="Arial"/>
          <w:bCs/>
        </w:rPr>
        <w:t xml:space="preserve"> </w:t>
      </w:r>
    </w:p>
    <w:p w14:paraId="2D19F6A1" w14:textId="77777777" w:rsidR="00AB5EA5" w:rsidRDefault="00AB5EA5" w:rsidP="00AB5EA5">
      <w:pPr>
        <w:jc w:val="both"/>
        <w:rPr>
          <w:rFonts w:ascii="Arial" w:hAnsi="Arial" w:cs="Arial"/>
          <w:bCs/>
        </w:rPr>
      </w:pPr>
      <w:r>
        <w:rPr>
          <w:rFonts w:ascii="Arial" w:hAnsi="Arial" w:cs="Arial"/>
          <w:bCs/>
        </w:rPr>
        <w:t>Professor Thompson Robinson BMedSci MD FRCP FESO.</w:t>
      </w:r>
    </w:p>
    <w:p w14:paraId="58173EDA" w14:textId="77777777" w:rsidR="00AB5EA5" w:rsidRDefault="00AB5EA5" w:rsidP="00AB5EA5">
      <w:pPr>
        <w:pStyle w:val="HRHeading2"/>
        <w:spacing w:before="0" w:after="120"/>
        <w:jc w:val="both"/>
      </w:pPr>
      <w:r>
        <w:rPr>
          <w:rFonts w:ascii="Arial" w:eastAsia="Times New Roman" w:hAnsi="Arial" w:cs="Arial"/>
          <w:b w:val="0"/>
          <w:sz w:val="22"/>
          <w:szCs w:val="22"/>
        </w:rPr>
        <w:t>The University of Leicester, with Leicestershire Partnership NHS Trust, is committed to enhancing the partnership between academia and the NHS in Leicester, Leicestershire, Rutland, and the wider geographical area.  A strong synergy between our organisations is the key to success. Major contributions made by consultant colleagues to the academic mission through research, teaching and education, clinical leadership, enterprise and innovation are recognised by the award of a range of honorary titles from Honorary Fellow through to Honorary Professor.</w:t>
      </w:r>
      <w:r>
        <w:rPr>
          <w:rFonts w:ascii="Arial" w:hAnsi="Arial" w:cs="Arial"/>
          <w:b w:val="0"/>
          <w:sz w:val="22"/>
          <w:szCs w:val="22"/>
        </w:rPr>
        <w:t xml:space="preserve"> </w:t>
      </w:r>
    </w:p>
    <w:p w14:paraId="0ED30C29" w14:textId="77777777" w:rsidR="00AB5EA5" w:rsidRDefault="00AB5EA5" w:rsidP="00AB5EA5">
      <w:pPr>
        <w:pStyle w:val="HRHeading2"/>
        <w:spacing w:before="0" w:after="120"/>
        <w:jc w:val="both"/>
        <w:rPr>
          <w:rFonts w:ascii="Arial" w:hAnsi="Arial" w:cs="Arial"/>
          <w:b w:val="0"/>
          <w:bCs w:val="0"/>
          <w:sz w:val="22"/>
          <w:szCs w:val="22"/>
        </w:rPr>
      </w:pPr>
    </w:p>
    <w:p w14:paraId="51864800" w14:textId="77777777" w:rsidR="00AB5EA5" w:rsidRDefault="00AB5EA5" w:rsidP="00AB5EA5">
      <w:pPr>
        <w:pStyle w:val="HRHeading2"/>
        <w:spacing w:before="0" w:after="120"/>
        <w:jc w:val="both"/>
      </w:pPr>
      <w:r>
        <w:rPr>
          <w:rFonts w:ascii="Arial" w:hAnsi="Arial" w:cs="Arial"/>
          <w:b w:val="0"/>
          <w:bCs w:val="0"/>
          <w:sz w:val="22"/>
          <w:szCs w:val="22"/>
        </w:rPr>
        <w:t xml:space="preserve">The mission of the College of Life Sciences is to pursue the highest standards of research, education and training in biomedical and related subjects, and to apply this knowledge and expertise to enhance the quality of life and economic prosperity of populations, both locally and in the wider world. </w:t>
      </w:r>
      <w:r>
        <w:rPr>
          <w:rFonts w:ascii="Arial" w:hAnsi="Arial" w:cs="Arial"/>
          <w:b w:val="0"/>
          <w:sz w:val="22"/>
          <w:szCs w:val="22"/>
        </w:rPr>
        <w:t>Its considerable academic resources mean that it is widely recognised for its world-leading and internationally excellent research and the quality of its undergraduate and postgraduate teaching.</w:t>
      </w:r>
    </w:p>
    <w:p w14:paraId="2785104D" w14:textId="77777777" w:rsidR="00AB5EA5" w:rsidRDefault="00AB5EA5" w:rsidP="00AB5EA5">
      <w:pPr>
        <w:spacing w:after="0" w:line="240" w:lineRule="auto"/>
        <w:jc w:val="both"/>
        <w:rPr>
          <w:rFonts w:ascii="Arial" w:hAnsi="Arial" w:cs="Arial"/>
        </w:rPr>
      </w:pPr>
      <w:r>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 The George Davies Centre is the largest investment in medical teaching and applied research by a UK university in the last decade. 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36CF2DD1" w14:textId="77777777" w:rsidR="00AB5EA5" w:rsidRDefault="00AB5EA5" w:rsidP="00AB5EA5">
      <w:pPr>
        <w:spacing w:after="0" w:line="240" w:lineRule="auto"/>
        <w:jc w:val="both"/>
        <w:rPr>
          <w:rFonts w:ascii="Arial" w:hAnsi="Arial" w:cs="Arial"/>
        </w:rPr>
      </w:pPr>
    </w:p>
    <w:p w14:paraId="451D8E95" w14:textId="77777777" w:rsidR="00AB5EA5" w:rsidRDefault="00AB5EA5" w:rsidP="00AB5EA5">
      <w:pPr>
        <w:spacing w:after="0" w:line="240" w:lineRule="auto"/>
        <w:jc w:val="both"/>
        <w:rPr>
          <w:rFonts w:ascii="Calibri" w:hAnsi="Calibri" w:cs="Times New Roman"/>
        </w:rPr>
      </w:pPr>
      <w:r>
        <w:rPr>
          <w:rFonts w:ascii="Arial" w:hAnsi="Arial" w:cs="Arial"/>
        </w:rPr>
        <w:t>The high calibre of our academic endeavour is increasingly being recognised, with the latest Research Excellence Framework (REF2021) ranking the University of Leicester 2</w:t>
      </w:r>
      <w:r>
        <w:rPr>
          <w:rFonts w:ascii="Arial" w:hAnsi="Arial" w:cs="Arial"/>
          <w:vertAlign w:val="superscript"/>
        </w:rPr>
        <w:t>nd</w:t>
      </w:r>
      <w:r>
        <w:rPr>
          <w:rFonts w:ascii="Arial" w:hAnsi="Arial" w:cs="Arial"/>
        </w:rPr>
        <w:t xml:space="preserve"> for Clinical Medicine (UoA1), with 95% of our submission ranked world-leading (4-star) or internationally excellent (3-star).  In addition, we were also the 2</w:t>
      </w:r>
      <w:r>
        <w:rPr>
          <w:rFonts w:ascii="Arial" w:hAnsi="Arial" w:cs="Arial"/>
          <w:vertAlign w:val="superscript"/>
        </w:rPr>
        <w:t>nd</w:t>
      </w:r>
      <w:r>
        <w:rPr>
          <w:rFonts w:ascii="Arial" w:hAnsi="Arial" w:cs="Arial"/>
        </w:rPr>
        <w:t xml:space="preserve"> highest rated institution for Sports and Exercise Sciences (UoA24). These results have had a significant impact on our international and national standing; Leicester was ranked 18</w:t>
      </w:r>
      <w:r>
        <w:rPr>
          <w:rFonts w:ascii="Arial" w:hAnsi="Arial" w:cs="Arial"/>
          <w:vertAlign w:val="superscript"/>
        </w:rPr>
        <w:t>th</w:t>
      </w:r>
      <w:r>
        <w:rPr>
          <w:rFonts w:ascii="Arial" w:hAnsi="Arial" w:cs="Arial"/>
        </w:rPr>
        <w:t xml:space="preserve"> (of almost 3,000 medical schools) in both the 2021 and 2022 Shanghai World Ranking, and 5th in the UK (the highest rank for Clinical Medicine outside of the Golden Triangle). In addition, Medicine was ranked 7</w:t>
      </w:r>
      <w:r>
        <w:rPr>
          <w:rFonts w:ascii="Arial" w:hAnsi="Arial" w:cs="Arial"/>
          <w:vertAlign w:val="superscript"/>
        </w:rPr>
        <w:t>th</w:t>
      </w:r>
      <w:r>
        <w:rPr>
          <w:rFonts w:ascii="Arial" w:hAnsi="Arial" w:cs="Arial"/>
        </w:rPr>
        <w:t xml:space="preserve"> in the Complete University Guide 2023; a rise of 18 places.</w:t>
      </w:r>
    </w:p>
    <w:p w14:paraId="19F3B3F0" w14:textId="77777777" w:rsidR="00AB5EA5" w:rsidRDefault="00AB5EA5" w:rsidP="00AB5EA5">
      <w:pPr>
        <w:spacing w:after="0" w:line="240" w:lineRule="auto"/>
        <w:jc w:val="both"/>
      </w:pPr>
    </w:p>
    <w:p w14:paraId="354AAE71" w14:textId="77777777" w:rsidR="00AB5EA5" w:rsidRDefault="00AB5EA5" w:rsidP="00AB5EA5">
      <w:pPr>
        <w:spacing w:after="0" w:line="240" w:lineRule="auto"/>
        <w:jc w:val="both"/>
        <w:rPr>
          <w:rFonts w:ascii="Arial" w:hAnsi="Arial" w:cs="Arial"/>
        </w:rPr>
      </w:pPr>
      <w:r>
        <w:rPr>
          <w:rFonts w:ascii="Arial" w:hAnsi="Arial" w:cs="Arial"/>
        </w:rPr>
        <w:t>The College comprises a matrix structure of four Research Departments: Cardiovascular Sciences, Genetics and Genome Biology, Molecular and Cell Biology, Population Health Sciences, Respiratory Sciences; two Teaching Schools: Leicester Medical School, School of Biological Sciences; and two combined Research and Teaching Schools: School of Healthcare and School of Psychology and Vision Sciences.</w:t>
      </w:r>
    </w:p>
    <w:p w14:paraId="0D12FDFE" w14:textId="77777777" w:rsidR="00AB5EA5" w:rsidRDefault="00AB5EA5" w:rsidP="00AB5EA5">
      <w:pPr>
        <w:spacing w:after="0" w:line="240" w:lineRule="auto"/>
        <w:jc w:val="both"/>
        <w:rPr>
          <w:rFonts w:ascii="Arial" w:hAnsi="Arial" w:cs="Arial"/>
        </w:rPr>
      </w:pPr>
    </w:p>
    <w:p w14:paraId="2CA6C40E" w14:textId="77777777" w:rsidR="00AB5EA5" w:rsidRDefault="00AB5EA5" w:rsidP="00AB5EA5">
      <w:pPr>
        <w:spacing w:after="0" w:line="240" w:lineRule="auto"/>
        <w:jc w:val="both"/>
        <w:rPr>
          <w:rFonts w:ascii="Calibri" w:hAnsi="Calibri" w:cs="Times New Roman"/>
        </w:rPr>
      </w:pPr>
      <w:r>
        <w:rPr>
          <w:rFonts w:ascii="Arial" w:hAnsi="Arial" w:cs="Arial"/>
        </w:rPr>
        <w:t xml:space="preserve">The University Strategy recognises the Mission of the University as ‘diverse in our make-up and united in our ambition, we change lives through education and research’. Our vision is to provide inspiring education and research working in partnership with our communities to become a truly inclusive theme. Our strategy consists of three themes, World-Changing Research, Research-Inspired Education and Our Citizens, underpinned by our three values </w:t>
      </w:r>
      <w:r>
        <w:rPr>
          <w:rFonts w:ascii="Arial" w:hAnsi="Arial" w:cs="Arial"/>
        </w:rPr>
        <w:lastRenderedPageBreak/>
        <w:t xml:space="preserve">of: </w:t>
      </w:r>
      <w:r>
        <w:rPr>
          <w:rFonts w:ascii="Arial" w:hAnsi="Arial" w:cs="Arial"/>
          <w:b/>
          <w:bCs/>
          <w:i/>
          <w:iCs/>
        </w:rPr>
        <w:t>Inclusive</w:t>
      </w:r>
      <w:r>
        <w:rPr>
          <w:rFonts w:ascii="Arial" w:hAnsi="Arial" w:cs="Arial"/>
        </w:rPr>
        <w:t xml:space="preserve">, diverse in our makeup and united in ambition; </w:t>
      </w:r>
      <w:r>
        <w:rPr>
          <w:rFonts w:ascii="Arial" w:hAnsi="Arial" w:cs="Arial"/>
          <w:b/>
          <w:bCs/>
          <w:i/>
          <w:iCs/>
        </w:rPr>
        <w:t>Inspiring</w:t>
      </w:r>
      <w:r>
        <w:rPr>
          <w:rFonts w:ascii="Arial" w:hAnsi="Arial" w:cs="Arial"/>
        </w:rPr>
        <w:t xml:space="preserve">, passionate about inspiring individuals to succeed and realise their ambitions; and </w:t>
      </w:r>
      <w:r>
        <w:rPr>
          <w:rFonts w:ascii="Arial" w:hAnsi="Arial" w:cs="Arial"/>
          <w:b/>
          <w:bCs/>
          <w:i/>
          <w:iCs/>
        </w:rPr>
        <w:t>Impactful</w:t>
      </w:r>
      <w:r>
        <w:rPr>
          <w:rFonts w:ascii="Arial" w:hAnsi="Arial" w:cs="Arial"/>
        </w:rPr>
        <w:t>, as Citizens of Change we generate new ideas which deliver impact and empower our community</w:t>
      </w:r>
    </w:p>
    <w:p w14:paraId="14BC0B34" w14:textId="77777777" w:rsidR="00AB5EA5" w:rsidRDefault="00AB5EA5" w:rsidP="00AB5EA5">
      <w:pPr>
        <w:jc w:val="both"/>
        <w:rPr>
          <w:rFonts w:ascii="Arial" w:hAnsi="Arial" w:cs="Arial"/>
          <w:b/>
        </w:rPr>
      </w:pPr>
    </w:p>
    <w:p w14:paraId="0D0693A0" w14:textId="77777777" w:rsidR="00AB5EA5" w:rsidRDefault="00AB5EA5" w:rsidP="00AB5EA5">
      <w:pPr>
        <w:jc w:val="both"/>
        <w:rPr>
          <w:rFonts w:ascii="Arial" w:hAnsi="Arial" w:cs="Arial"/>
          <w:b/>
        </w:rPr>
      </w:pPr>
      <w:r>
        <w:rPr>
          <w:rFonts w:ascii="Arial" w:hAnsi="Arial" w:cs="Arial"/>
          <w:b/>
        </w:rPr>
        <w:t>World-Changing Research</w:t>
      </w:r>
    </w:p>
    <w:p w14:paraId="505A0A69" w14:textId="77777777" w:rsidR="00AB5EA5" w:rsidRDefault="00AB5EA5" w:rsidP="00AB5EA5">
      <w:pPr>
        <w:spacing w:after="0" w:line="240" w:lineRule="auto"/>
        <w:jc w:val="both"/>
        <w:rPr>
          <w:rFonts w:ascii="Calibri" w:hAnsi="Calibri" w:cs="Times New Roman"/>
        </w:rPr>
      </w:pPr>
      <w:r>
        <w:rPr>
          <w:rFonts w:ascii="Arial" w:hAnsi="Arial" w:cs="Arial"/>
        </w:rPr>
        <w:t xml:space="preserve">The University’s institutional research strategy emphasizes our commitment to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College around which much of our research is now focused. These include two Institutes: </w:t>
      </w:r>
      <w:hyperlink w:history="1">
        <w:r>
          <w:rPr>
            <w:rStyle w:val="Hyperlink"/>
            <w:rFonts w:ascii="Arial" w:hAnsi="Arial" w:cs="Arial"/>
          </w:rPr>
          <w:t>Leicester Institute of Structural and Chemical Biology</w:t>
        </w:r>
      </w:hyperlink>
      <w:r>
        <w:rPr>
          <w:rStyle w:val="Hyperlink"/>
          <w:rFonts w:ascii="Arial" w:hAnsi="Arial" w:cs="Arial"/>
        </w:rPr>
        <w:t xml:space="preserve"> (Led by Prof John Schwabe) and </w:t>
      </w:r>
      <w:r>
        <w:rPr>
          <w:rFonts w:ascii="Arial" w:hAnsi="Arial" w:cs="Arial"/>
        </w:rPr>
        <w:t>the Leicester Institute for Precision Health (led by Professor Chris Brightling); and  nine Research Centres: Centre for Cancer Research, Centre for Diabetes Research, Centre for Microbial and Infectious Disease, Centre for Environmental Health and Sustainability, Centre for Phage Research, Centre for Lifespan Health and Wellbeing, Centre for Fibrosis Research, Centre for Sarcopenia and Muscle Research, and Centre for Population Health.</w:t>
      </w:r>
    </w:p>
    <w:p w14:paraId="294E3B35" w14:textId="77777777" w:rsidR="00AB5EA5" w:rsidRDefault="00AB5EA5" w:rsidP="00AB5EA5">
      <w:pPr>
        <w:spacing w:after="0" w:line="240" w:lineRule="auto"/>
        <w:jc w:val="both"/>
      </w:pPr>
    </w:p>
    <w:p w14:paraId="39422AA9" w14:textId="77777777" w:rsidR="00AB5EA5" w:rsidRDefault="00AB5EA5" w:rsidP="00AB5EA5">
      <w:pPr>
        <w:pStyle w:val="HRNormal"/>
        <w:spacing w:after="0"/>
        <w:ind w:left="0"/>
        <w:jc w:val="both"/>
        <w:rPr>
          <w:rFonts w:ascii="Arial" w:hAnsi="Arial" w:cs="Arial"/>
        </w:rPr>
      </w:pPr>
      <w:r>
        <w:rPr>
          <w:rFonts w:ascii="Arial" w:hAnsi="Arial" w:cs="Arial"/>
        </w:rPr>
        <w:t xml:space="preserve">The NIHR Biomedical Research Centre (BRC) is a collaboration between the University of Leicester, the University of Loughborough, the University Hospitals of Leicester NHS Trust and the University Hospitals of Northamptonshire NHS Group. A recently awarded expanded BRC with six themes has received a 2.5-fold increase in funding, and brings together the work of: Cardiovascular; Respiratory and Infection; Lifestyle; Personalised Cancer Prevention and Treatment; Environment; and Data innovation for Multiple Long-Term Conditions and Ethnic Health.  </w:t>
      </w:r>
    </w:p>
    <w:p w14:paraId="3A6B5708" w14:textId="77777777" w:rsidR="00AB5EA5" w:rsidRDefault="00AB5EA5" w:rsidP="00AB5EA5">
      <w:pPr>
        <w:jc w:val="both"/>
        <w:rPr>
          <w:rFonts w:ascii="Arial" w:hAnsi="Arial" w:cs="Arial"/>
        </w:rPr>
      </w:pPr>
    </w:p>
    <w:p w14:paraId="42F6AC3E" w14:textId="77777777" w:rsidR="00AB5EA5" w:rsidRDefault="00AB5EA5" w:rsidP="00AB5EA5">
      <w:pPr>
        <w:spacing w:after="0" w:line="240" w:lineRule="auto"/>
        <w:jc w:val="both"/>
        <w:rPr>
          <w:rFonts w:ascii="Arial" w:hAnsi="Arial" w:cs="Arial"/>
        </w:rPr>
      </w:pPr>
      <w:r>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0C3A944D" w14:textId="77777777" w:rsidR="00AB5EA5" w:rsidRDefault="00AB5EA5" w:rsidP="00AB5EA5">
      <w:pPr>
        <w:spacing w:after="0" w:line="240" w:lineRule="auto"/>
        <w:jc w:val="both"/>
        <w:rPr>
          <w:rFonts w:ascii="Arial" w:hAnsi="Arial" w:cs="Arial"/>
        </w:rPr>
      </w:pPr>
    </w:p>
    <w:p w14:paraId="3E581647" w14:textId="77777777" w:rsidR="00AB5EA5" w:rsidRDefault="00AB5EA5" w:rsidP="00AB5EA5">
      <w:pPr>
        <w:spacing w:after="0" w:line="240" w:lineRule="auto"/>
        <w:jc w:val="both"/>
        <w:rPr>
          <w:rFonts w:ascii="Arial" w:hAnsi="Arial" w:cs="Arial"/>
        </w:rPr>
      </w:pPr>
      <w:r>
        <w:rPr>
          <w:rFonts w:ascii="Arial" w:hAnsi="Arial" w:cs="Arial"/>
        </w:rPr>
        <w:t>The College continues to grow funded research activity with a dual approach of encouraging individuals to win project grants and personal fellowships, and supporting teams to achieve major awards with large strategic initiatives. Examples of Leicester’s infrastructure success include: an NIHR Biomedical Research Centre, an NIHR Global Research Centre, an NIHR Patient Recruitment Centre, an NIHR Applied Research Collaboration (ARC), an NIHR Clinical Research Facility, an Experimental Cancer Medicine Centre, an MRC Impact Accelerator Account, an MRC Midlands Cryo-Electron Microscope Facility, the Midlands Health Data Research UK Substantive Site, a British Heart Foundation Research Accelerator Award, and a Wellcome Doctoral Training Programme for Health Care Professionals.</w:t>
      </w:r>
    </w:p>
    <w:p w14:paraId="545B867F" w14:textId="77777777" w:rsidR="00AB5EA5" w:rsidRDefault="00AB5EA5" w:rsidP="00AB5EA5">
      <w:pPr>
        <w:spacing w:after="0" w:line="240" w:lineRule="auto"/>
        <w:jc w:val="both"/>
        <w:rPr>
          <w:rFonts w:ascii="Arial" w:hAnsi="Arial" w:cs="Arial"/>
        </w:rPr>
      </w:pPr>
    </w:p>
    <w:p w14:paraId="564394C5" w14:textId="77777777" w:rsidR="00AB5EA5" w:rsidRDefault="00AB5EA5" w:rsidP="00AB5EA5">
      <w:pPr>
        <w:spacing w:after="0" w:line="240" w:lineRule="auto"/>
        <w:jc w:val="both"/>
        <w:rPr>
          <w:rFonts w:ascii="Arial" w:hAnsi="Arial" w:cs="Arial"/>
        </w:rPr>
      </w:pPr>
      <w:r>
        <w:rPr>
          <w:rFonts w:ascii="Arial" w:hAnsi="Arial" w:cs="Arial"/>
        </w:rPr>
        <w:t>We are responding to the rapidly changing national and international research landscape that places an increasing emphasis on interdisciplinary and impactful research. For this purpose, we are working closely with our key NHS and other partners, University Hospitals of Leicester NHS Trust, Leicestershire Partnership NHS Trust and University Hospitals of Northamptonshire NHS Group, West Anglia NHS Foundation Trust and LOROS (Hospice Care for Leicester, Leicestershire and Rutland),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strengths, and are engaging closely with Leicester City and County Councils, and the Midlands Health Innovation network of regional Universities.</w:t>
      </w:r>
    </w:p>
    <w:p w14:paraId="79AF3336" w14:textId="77777777" w:rsidR="00AB5EA5" w:rsidRDefault="00AB5EA5" w:rsidP="00AB5EA5">
      <w:pPr>
        <w:jc w:val="both"/>
        <w:rPr>
          <w:rFonts w:ascii="Arial" w:hAnsi="Arial" w:cs="Arial"/>
          <w:b/>
        </w:rPr>
      </w:pPr>
    </w:p>
    <w:p w14:paraId="514CA32A" w14:textId="77777777" w:rsidR="00AB5EA5" w:rsidRDefault="00AB5EA5" w:rsidP="00AB5EA5">
      <w:pPr>
        <w:jc w:val="both"/>
        <w:rPr>
          <w:rFonts w:ascii="Arial" w:hAnsi="Arial" w:cs="Arial"/>
          <w:b/>
        </w:rPr>
      </w:pPr>
      <w:r>
        <w:rPr>
          <w:rFonts w:ascii="Arial" w:hAnsi="Arial" w:cs="Arial"/>
          <w:b/>
        </w:rPr>
        <w:lastRenderedPageBreak/>
        <w:t>Research-Inspired Education</w:t>
      </w:r>
    </w:p>
    <w:p w14:paraId="041C688A" w14:textId="77777777" w:rsidR="00AB5EA5" w:rsidRDefault="00AB5EA5" w:rsidP="00AB5EA5">
      <w:pPr>
        <w:spacing w:after="0" w:line="240" w:lineRule="auto"/>
        <w:jc w:val="both"/>
        <w:rPr>
          <w:rFonts w:ascii="Arial" w:hAnsi="Arial" w:cs="Arial"/>
        </w:rPr>
      </w:pPr>
      <w:r>
        <w:rPr>
          <w:rFonts w:ascii="Arial" w:hAnsi="Arial" w:cs="Arial"/>
        </w:rPr>
        <w:t xml:space="preserve">Our ambition is to deliver a world-class, discovery-led and discovery-enabling learning experience in all teaching. There are programmes in Medicine and a growing range of healthcare professions including Midwifery with Leadership, Nursing with Leadership, Operating Department Practice, Physiotherapy and Radiography; a new Clinical Pharmacy course is also planned. </w:t>
      </w:r>
    </w:p>
    <w:p w14:paraId="50E32749" w14:textId="77777777" w:rsidR="00AB5EA5" w:rsidRDefault="00AB5EA5" w:rsidP="00AB5EA5">
      <w:pPr>
        <w:spacing w:after="0" w:line="240" w:lineRule="auto"/>
        <w:jc w:val="both"/>
        <w:rPr>
          <w:rFonts w:ascii="Arial" w:hAnsi="Arial" w:cs="Arial"/>
        </w:rPr>
      </w:pPr>
    </w:p>
    <w:p w14:paraId="3566FB5B" w14:textId="77777777" w:rsidR="00AB5EA5" w:rsidRDefault="00AB5EA5" w:rsidP="00AB5EA5">
      <w:pPr>
        <w:pStyle w:val="CommentText"/>
        <w:jc w:val="both"/>
        <w:rPr>
          <w:rFonts w:ascii="Arial" w:hAnsi="Arial" w:cs="Arial"/>
          <w:sz w:val="22"/>
          <w:szCs w:val="22"/>
        </w:rPr>
      </w:pPr>
      <w:r>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4AC591BF" w14:textId="77777777" w:rsidR="00AB5EA5" w:rsidRDefault="00AB5EA5" w:rsidP="00AB5EA5">
      <w:pPr>
        <w:jc w:val="both"/>
        <w:rPr>
          <w:rFonts w:ascii="Arial" w:hAnsi="Arial" w:cs="Arial"/>
        </w:rPr>
      </w:pPr>
      <w:r>
        <w:rPr>
          <w:rFonts w:ascii="Arial" w:hAnsi="Arial" w:cs="Arial"/>
        </w:rPr>
        <w:t>The course features:</w:t>
      </w:r>
    </w:p>
    <w:p w14:paraId="1875355D" w14:textId="77777777" w:rsidR="00AB5EA5" w:rsidRDefault="00AB5EA5" w:rsidP="00AB5EA5">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A clinical focus throughout underpinned by excellence in bioscience, and access to one of the largest dissection suites in the UK; </w:t>
      </w:r>
    </w:p>
    <w:p w14:paraId="638CF69E" w14:textId="77777777" w:rsidR="00AB5EA5" w:rsidRDefault="00AB5EA5" w:rsidP="00AB5EA5">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Early clinical experience including a new Healthcare Assistant  (HCA) programme in year one;</w:t>
      </w:r>
    </w:p>
    <w:p w14:paraId="31DDF054" w14:textId="77777777" w:rsidR="00AB5EA5" w:rsidRDefault="00AB5EA5" w:rsidP="00AB5EA5">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A strong group-work provision supporting student learning throughout the course;</w:t>
      </w:r>
    </w:p>
    <w:p w14:paraId="2A5993B2" w14:textId="77777777" w:rsidR="00AB5EA5" w:rsidRDefault="00AB5EA5" w:rsidP="00AB5EA5">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A wide range of hospital and GP placements with many areas of national excellence;</w:t>
      </w:r>
    </w:p>
    <w:p w14:paraId="4983CA96" w14:textId="77777777" w:rsidR="00AB5EA5" w:rsidRDefault="00AB5EA5" w:rsidP="00AB5EA5">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Excellent intercalated degree opportunities, with particular strengths in our iMSc in Research and a new Masters in Clinical Education; and</w:t>
      </w:r>
    </w:p>
    <w:p w14:paraId="5FFFBBCD" w14:textId="77777777" w:rsidR="00AB5EA5" w:rsidRDefault="00AB5EA5" w:rsidP="00AB5EA5">
      <w:pPr>
        <w:pStyle w:val="CommentText"/>
        <w:widowControl w:val="0"/>
        <w:numPr>
          <w:ilvl w:val="0"/>
          <w:numId w:val="35"/>
        </w:numPr>
        <w:suppressAutoHyphens/>
        <w:autoSpaceDN w:val="0"/>
        <w:spacing w:after="0"/>
        <w:jc w:val="both"/>
        <w:rPr>
          <w:rFonts w:ascii="Calibri" w:hAnsi="Calibri" w:cs="Times New Roman"/>
        </w:rPr>
      </w:pPr>
      <w:r>
        <w:rPr>
          <w:rFonts w:ascii="Arial" w:hAnsi="Arial" w:cs="Arial"/>
          <w:sz w:val="22"/>
          <w:szCs w:val="22"/>
          <w:shd w:val="clear" w:color="auto" w:fill="FFFFFF"/>
        </w:rPr>
        <w:t>Foundation Assistantships in year  5 which has enhanced our graduates preparedness for work as a Foundation doctor</w:t>
      </w:r>
    </w:p>
    <w:p w14:paraId="70D4831B" w14:textId="77777777" w:rsidR="00AB5EA5" w:rsidRDefault="00AB5EA5" w:rsidP="00AB5EA5">
      <w:pPr>
        <w:pStyle w:val="CommentText"/>
        <w:jc w:val="both"/>
        <w:rPr>
          <w:rFonts w:ascii="Arial" w:hAnsi="Arial" w:cs="Arial"/>
          <w:sz w:val="22"/>
          <w:szCs w:val="22"/>
        </w:rPr>
      </w:pPr>
    </w:p>
    <w:p w14:paraId="23B6A8A2" w14:textId="77777777" w:rsidR="00AB5EA5" w:rsidRDefault="00AB5EA5" w:rsidP="00AB5EA5">
      <w:pPr>
        <w:pStyle w:val="CommentText"/>
        <w:jc w:val="both"/>
        <w:rPr>
          <w:rFonts w:ascii="Calibri" w:hAnsi="Calibri" w:cs="Times New Roman"/>
        </w:rPr>
      </w:pPr>
      <w:r>
        <w:rPr>
          <w:rFonts w:ascii="Arial" w:hAnsi="Arial" w:cs="Arial"/>
          <w:sz w:val="22"/>
          <w:szCs w:val="22"/>
        </w:rPr>
        <w:t xml:space="preserve">We are also proud of our work widening participation to medicine, and have developed an excellent </w:t>
      </w:r>
      <w:hyperlink w:history="1">
        <w:r>
          <w:rPr>
            <w:rStyle w:val="Hyperlink"/>
            <w:rFonts w:ascii="Arial" w:hAnsi="Arial" w:cs="Arial"/>
            <w:sz w:val="22"/>
            <w:szCs w:val="22"/>
          </w:rPr>
          <w:t>Medicine with Foundation Year MB ChB</w:t>
        </w:r>
      </w:hyperlink>
      <w:r>
        <w:rPr>
          <w:rFonts w:ascii="Arial" w:hAnsi="Arial" w:cs="Arial"/>
          <w:sz w:val="22"/>
          <w:szCs w:val="22"/>
        </w:rPr>
        <w:t xml:space="preserve"> which was launched in 2017.  This recruits 35 students to an </w:t>
      </w:r>
      <w:r>
        <w:rPr>
          <w:rFonts w:ascii="Arial" w:hAnsi="Arial" w:cs="Arial"/>
          <w:sz w:val="22"/>
          <w:szCs w:val="22"/>
          <w:shd w:val="clear" w:color="auto" w:fill="FFFFFF"/>
        </w:rPr>
        <w:t xml:space="preserve">integrated Foundation Year enabling progression onto Year 1 of the MB ChB course. Since 2020, we also have an international joint educational partnership with the Chongqing Medical University, where students gain a Clinical Medicine degree in China and a Bachelor of Sciences in Clinical Sciences from the University of Leicester; spending a year of their course at Leicester. </w:t>
      </w:r>
    </w:p>
    <w:p w14:paraId="31701237" w14:textId="77777777" w:rsidR="00AB5EA5" w:rsidRDefault="00AB5EA5" w:rsidP="00AB5EA5">
      <w:pPr>
        <w:pStyle w:val="CommentText"/>
        <w:jc w:val="both"/>
      </w:pPr>
      <w:r>
        <w:rPr>
          <w:rFonts w:ascii="Arial" w:hAnsi="Arial" w:cs="Arial"/>
          <w:sz w:val="22"/>
          <w:szCs w:val="22"/>
          <w:shd w:val="clear" w:color="auto" w:fill="FFFFFF"/>
        </w:rPr>
        <w:t>The Stoneygate Centre of Excellence in Empathic Healthcare was launched in 2022, following a major philanthropic donation to the University. The Centre will be a flagship institute and be world-leading: in the development and delivery of transformational empathy training; in establishing the best means of assessing clinical empathy; and in measuring the impact of empathic healthcare on patient and practitioner outcomes.</w:t>
      </w:r>
    </w:p>
    <w:p w14:paraId="337786C5" w14:textId="77777777" w:rsidR="00AB5EA5" w:rsidRDefault="00AB5EA5" w:rsidP="00AB5EA5">
      <w:pPr>
        <w:spacing w:after="0" w:line="240" w:lineRule="auto"/>
        <w:jc w:val="both"/>
        <w:rPr>
          <w:rFonts w:ascii="Arial" w:hAnsi="Arial" w:cs="Arial"/>
        </w:rPr>
      </w:pPr>
      <w:r>
        <w:rPr>
          <w:rFonts w:ascii="Arial" w:hAnsi="Arial" w:cs="Arial"/>
        </w:rPr>
        <w:t xml:space="preserve">In addition there are a broad range of programmes in Biological Sciences and Psychology at both undergraduate and postgraduate levels, including the DClinPsych. A new suite of postgraduate programmes reflecting the areas of research excellence in the College is under development including strengths in epidemiology, diabetes, medical statistics, quality and safety in healthcare, and social sciences in medicine. </w:t>
      </w:r>
    </w:p>
    <w:p w14:paraId="0B7A15A7" w14:textId="77777777" w:rsidR="00AB5EA5" w:rsidRDefault="00AB5EA5" w:rsidP="00AB5EA5">
      <w:pPr>
        <w:jc w:val="both"/>
        <w:rPr>
          <w:rFonts w:ascii="Arial" w:hAnsi="Arial" w:cs="Arial"/>
        </w:rPr>
      </w:pPr>
    </w:p>
    <w:p w14:paraId="659D523A" w14:textId="77777777" w:rsidR="00AB5EA5" w:rsidRDefault="00AB5EA5" w:rsidP="00AB5EA5">
      <w:pPr>
        <w:jc w:val="both"/>
        <w:rPr>
          <w:rFonts w:ascii="Arial" w:hAnsi="Arial" w:cs="Arial"/>
          <w:b/>
          <w:bCs/>
        </w:rPr>
      </w:pPr>
      <w:r>
        <w:rPr>
          <w:rFonts w:ascii="Arial" w:hAnsi="Arial" w:cs="Arial"/>
          <w:b/>
          <w:bCs/>
        </w:rPr>
        <w:t>Our Citizens</w:t>
      </w:r>
    </w:p>
    <w:p w14:paraId="5F685B80" w14:textId="77777777" w:rsidR="00AB5EA5" w:rsidRDefault="00AB5EA5" w:rsidP="00AB5EA5">
      <w:pPr>
        <w:spacing w:after="0" w:line="240" w:lineRule="auto"/>
        <w:jc w:val="both"/>
        <w:rPr>
          <w:rFonts w:ascii="Arial" w:hAnsi="Arial" w:cs="Arial"/>
        </w:rPr>
      </w:pPr>
      <w:r>
        <w:rPr>
          <w:rFonts w:ascii="Arial" w:hAnsi="Arial" w:cs="Arial"/>
        </w:rPr>
        <w:t xml:space="preserve">We value, nurture and celebrate our people and relationships, ensuring they are inclusive, impactful, sustainable, and influence positive change in our world. Accordingly, we nurture strong partnerships with the NHS and other organisations, including the University Hospitals of Leicester NHS Trust, Leicestershire Partnership NHS Trust and University Hospitals of Northamptonshire NHS Group, West Anglia NHS Foundation Trust and LOROS (Hospice Care for Leicester, Leicestershire and Rutland), that support the delivery of our strategy. Through our NHS relationships, as well as strategic partnerships with the wider community including the Integrated Care System, the Borough, City and County Councils, and other East </w:t>
      </w:r>
      <w:r>
        <w:rPr>
          <w:rFonts w:ascii="Arial" w:hAnsi="Arial" w:cs="Arial"/>
        </w:rPr>
        <w:lastRenderedPageBreak/>
        <w:t>Midlands Universities (through the Civic University Agreement), we seek to shape policy and influence decision-making locally, regionally and nationally, to improve lives and livelihoods. We work with others to tackle the big issues of today and tomorrow with a focus on climate change, inclusion and wider social impact.</w:t>
      </w:r>
    </w:p>
    <w:p w14:paraId="418B34F0" w14:textId="77777777" w:rsidR="00AB5EA5" w:rsidRDefault="00AB5EA5" w:rsidP="00AB5EA5">
      <w:pPr>
        <w:spacing w:line="240" w:lineRule="auto"/>
        <w:jc w:val="both"/>
        <w:rPr>
          <w:rFonts w:ascii="Arial" w:hAnsi="Arial" w:cs="Arial"/>
        </w:rPr>
      </w:pPr>
    </w:p>
    <w:p w14:paraId="147AA332" w14:textId="77777777" w:rsidR="00AB5EA5" w:rsidRDefault="00AB5EA5" w:rsidP="00AB5EA5">
      <w:pPr>
        <w:spacing w:after="0" w:line="240" w:lineRule="auto"/>
        <w:jc w:val="both"/>
        <w:rPr>
          <w:rFonts w:ascii="Arial" w:eastAsia="Times New Roman" w:hAnsi="Arial" w:cs="Arial"/>
          <w:b/>
        </w:rPr>
      </w:pPr>
    </w:p>
    <w:p w14:paraId="3FD37DFF" w14:textId="77777777" w:rsidR="00AB5EA5" w:rsidRDefault="00AB5EA5" w:rsidP="00AB5EA5">
      <w:pPr>
        <w:rPr>
          <w:rFonts w:ascii="Calibri" w:eastAsia="Calibri" w:hAnsi="Calibri" w:cs="Calibri"/>
          <w:b/>
          <w:sz w:val="28"/>
          <w:szCs w:val="28"/>
        </w:rPr>
      </w:pPr>
      <w:r>
        <w:rPr>
          <w:rFonts w:cs="Calibri"/>
          <w:b/>
          <w:sz w:val="28"/>
          <w:szCs w:val="28"/>
        </w:rPr>
        <w:t>Psychiatry at the University of Leicester</w:t>
      </w:r>
    </w:p>
    <w:p w14:paraId="2F956865" w14:textId="77777777" w:rsidR="00AB5EA5" w:rsidRDefault="00AB5EA5" w:rsidP="00AB5EA5">
      <w:pPr>
        <w:jc w:val="both"/>
        <w:rPr>
          <w:rFonts w:cs="Calibri"/>
          <w:sz w:val="24"/>
          <w:szCs w:val="24"/>
        </w:rPr>
      </w:pPr>
      <w:r>
        <w:rPr>
          <w:rFonts w:cs="Calibri"/>
          <w:sz w:val="24"/>
          <w:szCs w:val="24"/>
        </w:rPr>
        <w:t>The groups leading on research interests within the field of Psychiatry are as follows:</w:t>
      </w:r>
    </w:p>
    <w:p w14:paraId="11D2AC7B" w14:textId="77777777" w:rsidR="00AB5EA5" w:rsidRDefault="00AB5EA5" w:rsidP="00AB5EA5">
      <w:pPr>
        <w:rPr>
          <w:rFonts w:ascii="Arial" w:hAnsi="Arial" w:cs="Arial"/>
          <w:b/>
          <w:i/>
        </w:rPr>
      </w:pPr>
      <w:r>
        <w:rPr>
          <w:rFonts w:ascii="Arial" w:hAnsi="Arial" w:cs="Arial"/>
          <w:b/>
          <w:i/>
        </w:rPr>
        <w:t>Social &amp; Epidemiological Psychiatry</w:t>
      </w:r>
    </w:p>
    <w:p w14:paraId="5A2FB097" w14:textId="77777777" w:rsidR="00AB5EA5" w:rsidRDefault="00AB5EA5" w:rsidP="00AB5EA5">
      <w:pPr>
        <w:spacing w:after="0" w:line="240" w:lineRule="auto"/>
        <w:rPr>
          <w:rFonts w:ascii="Arial" w:hAnsi="Arial" w:cs="Arial"/>
          <w:bCs/>
          <w:i/>
          <w:iCs/>
        </w:rPr>
      </w:pPr>
      <w:r>
        <w:rPr>
          <w:rFonts w:ascii="Arial" w:hAnsi="Arial" w:cs="Arial"/>
          <w:bCs/>
          <w:i/>
          <w:iCs/>
        </w:rPr>
        <w:t xml:space="preserve">Professor Traolach “Terry” Brugha </w:t>
      </w:r>
    </w:p>
    <w:p w14:paraId="72967CC0" w14:textId="77777777" w:rsidR="00AB5EA5" w:rsidRDefault="00AB5EA5" w:rsidP="00AB5EA5">
      <w:pPr>
        <w:spacing w:after="0" w:line="240" w:lineRule="auto"/>
        <w:rPr>
          <w:rFonts w:ascii="Arial" w:hAnsi="Arial" w:cs="Arial"/>
          <w:bCs/>
          <w:i/>
          <w:iCs/>
        </w:rPr>
      </w:pPr>
      <w:r>
        <w:rPr>
          <w:rFonts w:ascii="Arial" w:hAnsi="Arial" w:cs="Arial"/>
          <w:bCs/>
          <w:i/>
          <w:iCs/>
        </w:rPr>
        <w:t xml:space="preserve">Dr Samuel Tromans (Associate Professor) </w:t>
      </w:r>
    </w:p>
    <w:p w14:paraId="123CC12C" w14:textId="77777777" w:rsidR="00AB5EA5" w:rsidRDefault="00AB5EA5" w:rsidP="00AB5EA5">
      <w:pPr>
        <w:spacing w:after="0" w:line="240" w:lineRule="auto"/>
        <w:rPr>
          <w:rFonts w:ascii="Arial" w:hAnsi="Arial" w:cs="Arial"/>
          <w:bCs/>
          <w:i/>
          <w:iCs/>
        </w:rPr>
      </w:pPr>
      <w:r>
        <w:rPr>
          <w:rFonts w:ascii="Arial" w:hAnsi="Arial" w:cs="Arial"/>
          <w:bCs/>
          <w:i/>
          <w:iCs/>
        </w:rPr>
        <w:t xml:space="preserve">Dr Nandini Chakraborty (Hon Professor) </w:t>
      </w:r>
    </w:p>
    <w:p w14:paraId="3FCB6C5B" w14:textId="77777777" w:rsidR="00AB5EA5" w:rsidRDefault="00AB5EA5" w:rsidP="00AB5EA5">
      <w:pPr>
        <w:spacing w:after="0" w:line="240" w:lineRule="auto"/>
        <w:rPr>
          <w:rFonts w:ascii="Arial" w:hAnsi="Arial" w:cs="Arial"/>
          <w:bCs/>
          <w:i/>
          <w:iCs/>
        </w:rPr>
      </w:pPr>
      <w:r>
        <w:rPr>
          <w:rFonts w:ascii="Arial" w:hAnsi="Arial" w:cs="Arial"/>
          <w:bCs/>
          <w:i/>
          <w:iCs/>
        </w:rPr>
        <w:t xml:space="preserve">Dr Asit Biswas (Hon Professor) </w:t>
      </w:r>
    </w:p>
    <w:p w14:paraId="7A08C1D0" w14:textId="77777777" w:rsidR="00AB5EA5" w:rsidRDefault="00AB5EA5" w:rsidP="00AB5EA5">
      <w:pPr>
        <w:spacing w:after="0" w:line="240" w:lineRule="auto"/>
        <w:rPr>
          <w:rFonts w:ascii="Arial" w:hAnsi="Arial" w:cs="Arial"/>
          <w:bCs/>
          <w:i/>
          <w:iCs/>
        </w:rPr>
      </w:pPr>
      <w:r>
        <w:rPr>
          <w:rFonts w:ascii="Arial" w:hAnsi="Arial" w:cs="Arial"/>
          <w:bCs/>
          <w:i/>
          <w:iCs/>
        </w:rPr>
        <w:t xml:space="preserve">Dr Mohammed Abbas (Hon Associate Professor) </w:t>
      </w:r>
    </w:p>
    <w:p w14:paraId="3D0031D6" w14:textId="77777777" w:rsidR="00AB5EA5" w:rsidRDefault="00AB5EA5" w:rsidP="00AB5EA5">
      <w:pPr>
        <w:spacing w:after="0" w:line="240" w:lineRule="auto"/>
        <w:rPr>
          <w:rFonts w:ascii="Arial" w:hAnsi="Arial" w:cs="Arial"/>
          <w:bCs/>
          <w:i/>
          <w:iCs/>
        </w:rPr>
      </w:pPr>
      <w:r>
        <w:rPr>
          <w:rFonts w:ascii="Arial" w:hAnsi="Arial" w:cs="Arial"/>
          <w:bCs/>
          <w:i/>
          <w:iCs/>
        </w:rPr>
        <w:t>Dr Latha Velayudhan (Hon Associate Professor)</w:t>
      </w:r>
    </w:p>
    <w:p w14:paraId="4B84C086" w14:textId="77777777" w:rsidR="00AB5EA5" w:rsidRDefault="00AB5EA5" w:rsidP="00AB5EA5">
      <w:pPr>
        <w:spacing w:after="0" w:line="240" w:lineRule="auto"/>
        <w:rPr>
          <w:rFonts w:ascii="Arial" w:hAnsi="Arial" w:cs="Arial"/>
          <w:bCs/>
          <w:i/>
          <w:iCs/>
        </w:rPr>
      </w:pPr>
      <w:r>
        <w:rPr>
          <w:rFonts w:ascii="Arial" w:hAnsi="Arial" w:cs="Arial"/>
          <w:bCs/>
          <w:i/>
          <w:iCs/>
        </w:rPr>
        <w:t xml:space="preserve">Dr Reza Kiani (Hon Sen Lec) </w:t>
      </w:r>
    </w:p>
    <w:p w14:paraId="3EDAB018" w14:textId="77777777" w:rsidR="00AB5EA5" w:rsidRDefault="00AB5EA5" w:rsidP="00AB5EA5">
      <w:pPr>
        <w:spacing w:after="0" w:line="240" w:lineRule="auto"/>
        <w:rPr>
          <w:rFonts w:ascii="Arial" w:hAnsi="Arial" w:cs="Arial"/>
          <w:bCs/>
          <w:i/>
          <w:iCs/>
        </w:rPr>
      </w:pPr>
      <w:r>
        <w:rPr>
          <w:rFonts w:ascii="Arial" w:hAnsi="Arial" w:cs="Arial"/>
          <w:bCs/>
          <w:i/>
          <w:iCs/>
        </w:rPr>
        <w:t xml:space="preserve">Alison Drewett (Hon Fellow) </w:t>
      </w:r>
    </w:p>
    <w:p w14:paraId="66A25345" w14:textId="77777777" w:rsidR="00AB5EA5" w:rsidRDefault="00AB5EA5" w:rsidP="00AB5EA5">
      <w:pPr>
        <w:spacing w:after="0" w:line="240" w:lineRule="auto"/>
        <w:rPr>
          <w:rFonts w:ascii="Arial" w:hAnsi="Arial" w:cs="Arial"/>
          <w:bCs/>
          <w:i/>
          <w:iCs/>
        </w:rPr>
      </w:pPr>
      <w:r>
        <w:rPr>
          <w:rFonts w:ascii="Arial" w:hAnsi="Arial" w:cs="Arial"/>
          <w:bCs/>
          <w:i/>
          <w:iCs/>
        </w:rPr>
        <w:t>Andrew Leaver (Research Collaborator)</w:t>
      </w:r>
    </w:p>
    <w:p w14:paraId="7C617400" w14:textId="77777777" w:rsidR="00AB5EA5" w:rsidRDefault="00AB5EA5" w:rsidP="00AB5EA5">
      <w:pPr>
        <w:spacing w:after="0" w:line="240" w:lineRule="auto"/>
        <w:rPr>
          <w:rFonts w:ascii="Arial" w:hAnsi="Arial" w:cs="Arial"/>
          <w:bCs/>
          <w:i/>
          <w:iCs/>
        </w:rPr>
      </w:pPr>
    </w:p>
    <w:p w14:paraId="41AC2075" w14:textId="77777777" w:rsidR="00AB5EA5" w:rsidRDefault="00AB5EA5" w:rsidP="00AB5EA5">
      <w:pPr>
        <w:spacing w:after="0" w:line="240" w:lineRule="auto"/>
        <w:rPr>
          <w:rFonts w:ascii="Arial" w:hAnsi="Arial" w:cs="Arial"/>
          <w:bCs/>
        </w:rPr>
      </w:pPr>
      <w:r>
        <w:rPr>
          <w:rFonts w:ascii="Arial" w:hAnsi="Arial" w:cs="Arial"/>
          <w:bCs/>
        </w:rPr>
        <w:t>Interests:</w:t>
      </w:r>
    </w:p>
    <w:p w14:paraId="0365F71C" w14:textId="77777777" w:rsidR="00AB5EA5" w:rsidRDefault="00AB5EA5" w:rsidP="00AB5EA5">
      <w:pPr>
        <w:pStyle w:val="ListParagraph"/>
        <w:numPr>
          <w:ilvl w:val="0"/>
          <w:numId w:val="36"/>
        </w:numPr>
        <w:suppressAutoHyphens/>
        <w:autoSpaceDN w:val="0"/>
        <w:rPr>
          <w:rFonts w:ascii="Arial" w:hAnsi="Arial" w:cs="Arial"/>
        </w:rPr>
      </w:pPr>
      <w:r>
        <w:rPr>
          <w:rFonts w:ascii="Arial" w:hAnsi="Arial" w:cs="Arial"/>
        </w:rPr>
        <w:t>Epidemiology and psychopathology of psychosis, eating disorders, adult autism spectrum disorder, ADHD and common mental disorders</w:t>
      </w:r>
    </w:p>
    <w:p w14:paraId="79C58F09" w14:textId="77777777" w:rsidR="00AB5EA5" w:rsidRDefault="00AB5EA5" w:rsidP="00AB5EA5">
      <w:pPr>
        <w:pStyle w:val="ListParagraph"/>
        <w:numPr>
          <w:ilvl w:val="0"/>
          <w:numId w:val="36"/>
        </w:numPr>
        <w:suppressAutoHyphens/>
        <w:autoSpaceDN w:val="0"/>
        <w:rPr>
          <w:rFonts w:ascii="Arial" w:hAnsi="Arial" w:cs="Arial"/>
        </w:rPr>
      </w:pPr>
      <w:r>
        <w:rPr>
          <w:rFonts w:ascii="Arial" w:hAnsi="Arial" w:cs="Arial"/>
        </w:rPr>
        <w:t xml:space="preserve">Aetiology and prevention of common and peri-natal mental disorders </w:t>
      </w:r>
    </w:p>
    <w:p w14:paraId="2B0D505F" w14:textId="77777777" w:rsidR="00AB5EA5" w:rsidRDefault="00AB5EA5" w:rsidP="00AB5EA5">
      <w:pPr>
        <w:pStyle w:val="ListParagraph"/>
        <w:numPr>
          <w:ilvl w:val="0"/>
          <w:numId w:val="36"/>
        </w:numPr>
        <w:suppressAutoHyphens/>
        <w:autoSpaceDN w:val="0"/>
        <w:spacing w:after="0" w:line="240" w:lineRule="auto"/>
        <w:rPr>
          <w:rFonts w:ascii="Arial" w:hAnsi="Arial" w:cs="Arial"/>
        </w:rPr>
      </w:pPr>
      <w:r>
        <w:rPr>
          <w:rFonts w:ascii="Arial" w:hAnsi="Arial" w:cs="Arial"/>
        </w:rPr>
        <w:t>Policy information and interpretation of large survey datasets</w:t>
      </w:r>
    </w:p>
    <w:p w14:paraId="38D108FB" w14:textId="77777777" w:rsidR="00AB5EA5" w:rsidRDefault="00AB5EA5" w:rsidP="00AB5EA5">
      <w:pPr>
        <w:pStyle w:val="ListParagraph"/>
        <w:numPr>
          <w:ilvl w:val="0"/>
          <w:numId w:val="36"/>
        </w:numPr>
        <w:suppressAutoHyphens/>
        <w:autoSpaceDN w:val="0"/>
        <w:spacing w:after="0" w:line="240" w:lineRule="auto"/>
        <w:rPr>
          <w:rFonts w:ascii="Arial" w:hAnsi="Arial" w:cs="Arial"/>
        </w:rPr>
      </w:pPr>
      <w:r>
        <w:rPr>
          <w:rFonts w:ascii="Arial" w:hAnsi="Arial" w:cs="Arial"/>
        </w:rPr>
        <w:t>Validity and reliability of measures of outcome and of determinants including WHO SCAN</w:t>
      </w:r>
    </w:p>
    <w:p w14:paraId="46524F10" w14:textId="77777777" w:rsidR="00AB5EA5" w:rsidRDefault="00AB5EA5" w:rsidP="00AB5EA5">
      <w:pPr>
        <w:pStyle w:val="ListParagraph"/>
        <w:numPr>
          <w:ilvl w:val="0"/>
          <w:numId w:val="36"/>
        </w:numPr>
        <w:suppressAutoHyphens/>
        <w:autoSpaceDN w:val="0"/>
        <w:spacing w:after="0" w:line="240" w:lineRule="auto"/>
        <w:rPr>
          <w:rFonts w:ascii="Arial" w:hAnsi="Arial" w:cs="Arial"/>
        </w:rPr>
      </w:pPr>
      <w:r>
        <w:rPr>
          <w:rFonts w:ascii="Arial" w:hAnsi="Arial" w:cs="Arial"/>
        </w:rPr>
        <w:t>Neuropsychiatric outcome of Covid-19</w:t>
      </w:r>
    </w:p>
    <w:p w14:paraId="5EAFF665" w14:textId="77777777" w:rsidR="00AB5EA5" w:rsidRDefault="00AB5EA5" w:rsidP="00AB5EA5">
      <w:pPr>
        <w:pStyle w:val="ListParagraph"/>
        <w:numPr>
          <w:ilvl w:val="0"/>
          <w:numId w:val="36"/>
        </w:numPr>
        <w:suppressAutoHyphens/>
        <w:autoSpaceDN w:val="0"/>
        <w:spacing w:after="0" w:line="240" w:lineRule="auto"/>
        <w:rPr>
          <w:rFonts w:ascii="Arial" w:hAnsi="Arial" w:cs="Arial"/>
        </w:rPr>
      </w:pPr>
      <w:r>
        <w:rPr>
          <w:rFonts w:ascii="Arial" w:hAnsi="Arial" w:cs="Arial"/>
        </w:rPr>
        <w:t>Self-harm and suicide</w:t>
      </w:r>
    </w:p>
    <w:p w14:paraId="1F8C7BE0" w14:textId="77777777" w:rsidR="00AB5EA5" w:rsidRDefault="00AB5EA5" w:rsidP="00AB5EA5">
      <w:pPr>
        <w:pStyle w:val="ListParagraph"/>
        <w:numPr>
          <w:ilvl w:val="0"/>
          <w:numId w:val="36"/>
        </w:numPr>
        <w:suppressAutoHyphens/>
        <w:autoSpaceDN w:val="0"/>
        <w:spacing w:after="0" w:line="240" w:lineRule="auto"/>
        <w:rPr>
          <w:rFonts w:ascii="Arial" w:hAnsi="Arial" w:cs="Arial"/>
        </w:rPr>
      </w:pPr>
      <w:bookmarkStart w:id="3" w:name="_Hlk129622470"/>
      <w:r>
        <w:rPr>
          <w:rFonts w:ascii="Arial" w:hAnsi="Arial" w:cs="Arial"/>
        </w:rPr>
        <w:t>Smell identification function in Alzheimer's disease (biomarkers)Language and communication in autism</w:t>
      </w:r>
    </w:p>
    <w:p w14:paraId="6B790B87" w14:textId="77777777" w:rsidR="00AB5EA5" w:rsidRDefault="00AB5EA5" w:rsidP="00AB5EA5">
      <w:pPr>
        <w:pStyle w:val="ListParagraph"/>
        <w:numPr>
          <w:ilvl w:val="0"/>
          <w:numId w:val="36"/>
        </w:numPr>
        <w:suppressAutoHyphens/>
        <w:autoSpaceDN w:val="0"/>
        <w:spacing w:after="0" w:line="240" w:lineRule="auto"/>
        <w:rPr>
          <w:rFonts w:ascii="Arial" w:hAnsi="Arial" w:cs="Arial"/>
        </w:rPr>
      </w:pPr>
      <w:r>
        <w:rPr>
          <w:rFonts w:ascii="Arial" w:hAnsi="Arial" w:cs="Arial"/>
        </w:rPr>
        <w:t>Huntingdon’s disease</w:t>
      </w:r>
    </w:p>
    <w:p w14:paraId="1DBC1B01" w14:textId="77777777" w:rsidR="00AB5EA5" w:rsidRDefault="00AB5EA5" w:rsidP="00AB5EA5">
      <w:pPr>
        <w:jc w:val="both"/>
        <w:rPr>
          <w:rFonts w:ascii="Arial" w:hAnsi="Arial" w:cs="Arial"/>
        </w:rPr>
      </w:pPr>
      <w:bookmarkStart w:id="4" w:name="_Hlk129622447"/>
      <w:bookmarkEnd w:id="3"/>
    </w:p>
    <w:p w14:paraId="5464AAA3" w14:textId="77777777" w:rsidR="00AB5EA5" w:rsidRDefault="00AB5EA5" w:rsidP="00AB5EA5">
      <w:pPr>
        <w:jc w:val="both"/>
        <w:rPr>
          <w:rFonts w:ascii="Calibri" w:hAnsi="Calibri" w:cs="Times New Roman"/>
        </w:rPr>
      </w:pPr>
      <w:r>
        <w:rPr>
          <w:rFonts w:ascii="Arial" w:hAnsi="Arial" w:cs="Arial"/>
        </w:rPr>
        <w:t xml:space="preserve">The group </w:t>
      </w:r>
      <w:r>
        <w:rPr>
          <w:rFonts w:ascii="Arial" w:hAnsi="Arial" w:cs="Arial"/>
          <w:lang w:val="en-US"/>
        </w:rPr>
        <w:t xml:space="preserve">has received recent substantial contract research funding through the Department of Health and Social Care and arm’s length NHS agencies in partnership with NatCen Social research and further grant funding to participated in two NIHR clinical trials. </w:t>
      </w:r>
    </w:p>
    <w:bookmarkEnd w:id="4"/>
    <w:p w14:paraId="34F30EAD" w14:textId="77777777" w:rsidR="00AB5EA5" w:rsidRDefault="00AB5EA5" w:rsidP="00AB5EA5">
      <w:pPr>
        <w:jc w:val="both"/>
      </w:pPr>
      <w:r>
        <w:rPr>
          <w:rFonts w:ascii="Arial" w:hAnsi="Arial" w:cs="Arial"/>
          <w:b/>
          <w:i/>
        </w:rPr>
        <w:t xml:space="preserve">International Mental Health </w:t>
      </w:r>
    </w:p>
    <w:p w14:paraId="6B86C60E" w14:textId="77777777" w:rsidR="00AB5EA5" w:rsidRDefault="00AB5EA5" w:rsidP="00AB5EA5">
      <w:pPr>
        <w:spacing w:after="0" w:line="240" w:lineRule="auto"/>
        <w:jc w:val="both"/>
        <w:rPr>
          <w:rFonts w:ascii="Arial" w:hAnsi="Arial" w:cs="Arial"/>
          <w:bCs/>
          <w:i/>
          <w:iCs/>
        </w:rPr>
      </w:pPr>
      <w:r>
        <w:rPr>
          <w:rFonts w:ascii="Arial" w:hAnsi="Arial" w:cs="Arial"/>
          <w:bCs/>
          <w:i/>
          <w:iCs/>
        </w:rPr>
        <w:t xml:space="preserve">Professor Vostanis (Emeritus Professor) </w:t>
      </w:r>
    </w:p>
    <w:p w14:paraId="2C6904AB" w14:textId="77777777" w:rsidR="00AB5EA5" w:rsidRDefault="00AB5EA5" w:rsidP="00AB5EA5">
      <w:pPr>
        <w:spacing w:after="0" w:line="240" w:lineRule="auto"/>
        <w:jc w:val="both"/>
        <w:rPr>
          <w:rFonts w:ascii="Arial" w:hAnsi="Arial" w:cs="Arial"/>
          <w:bCs/>
          <w:i/>
          <w:iCs/>
        </w:rPr>
      </w:pPr>
      <w:r>
        <w:rPr>
          <w:rFonts w:ascii="Arial" w:hAnsi="Arial" w:cs="Arial"/>
          <w:bCs/>
          <w:i/>
          <w:iCs/>
        </w:rPr>
        <w:t xml:space="preserve">Professor Dogra (Emeritus Professor) </w:t>
      </w:r>
    </w:p>
    <w:p w14:paraId="53E4D815" w14:textId="77777777" w:rsidR="00AB5EA5" w:rsidRDefault="00AB5EA5" w:rsidP="00AB5EA5">
      <w:pPr>
        <w:spacing w:after="0" w:line="240" w:lineRule="auto"/>
        <w:jc w:val="both"/>
        <w:rPr>
          <w:rFonts w:ascii="Arial" w:hAnsi="Arial" w:cs="Arial"/>
          <w:bCs/>
          <w:i/>
          <w:iCs/>
        </w:rPr>
      </w:pPr>
      <w:r>
        <w:rPr>
          <w:rFonts w:ascii="Arial" w:hAnsi="Arial" w:cs="Arial"/>
          <w:bCs/>
          <w:i/>
          <w:iCs/>
        </w:rPr>
        <w:t>Dr K Karim (Associate Professor)</w:t>
      </w:r>
    </w:p>
    <w:p w14:paraId="0D426DCE" w14:textId="77777777" w:rsidR="00AB5EA5" w:rsidRDefault="00AB5EA5" w:rsidP="00AB5EA5">
      <w:pPr>
        <w:spacing w:after="0" w:line="240" w:lineRule="auto"/>
        <w:jc w:val="both"/>
        <w:rPr>
          <w:rFonts w:ascii="Arial" w:hAnsi="Arial" w:cs="Arial"/>
          <w:bCs/>
          <w:i/>
          <w:iCs/>
        </w:rPr>
      </w:pPr>
      <w:r>
        <w:rPr>
          <w:rFonts w:ascii="Arial" w:hAnsi="Arial" w:cs="Arial"/>
          <w:bCs/>
          <w:i/>
          <w:iCs/>
        </w:rPr>
        <w:t>Dr Michelle O’Reilly (Associate Professor of Communication in Mental Health)</w:t>
      </w:r>
    </w:p>
    <w:p w14:paraId="487B38F3" w14:textId="77777777" w:rsidR="00AB5EA5" w:rsidRDefault="00AB5EA5" w:rsidP="00AB5EA5">
      <w:pPr>
        <w:spacing w:after="0" w:line="240" w:lineRule="auto"/>
        <w:jc w:val="both"/>
        <w:rPr>
          <w:rFonts w:ascii="Arial" w:hAnsi="Arial" w:cs="Arial"/>
          <w:bCs/>
          <w:i/>
          <w:iCs/>
        </w:rPr>
      </w:pPr>
    </w:p>
    <w:p w14:paraId="3A449633" w14:textId="77777777" w:rsidR="00AB5EA5" w:rsidRDefault="00AB5EA5" w:rsidP="00AB5EA5">
      <w:pPr>
        <w:spacing w:after="0" w:line="240" w:lineRule="auto"/>
        <w:jc w:val="both"/>
        <w:rPr>
          <w:rFonts w:ascii="Arial" w:hAnsi="Arial" w:cs="Arial"/>
          <w:bCs/>
        </w:rPr>
      </w:pPr>
      <w:r>
        <w:rPr>
          <w:rFonts w:ascii="Arial" w:hAnsi="Arial" w:cs="Arial"/>
          <w:bCs/>
        </w:rPr>
        <w:t>Interests:</w:t>
      </w:r>
    </w:p>
    <w:p w14:paraId="7442E6C9" w14:textId="77777777" w:rsidR="00AB5EA5" w:rsidRDefault="00AB5EA5" w:rsidP="00AB5EA5">
      <w:pPr>
        <w:pStyle w:val="ListParagraph"/>
        <w:numPr>
          <w:ilvl w:val="0"/>
          <w:numId w:val="37"/>
        </w:numPr>
        <w:suppressAutoHyphens/>
        <w:autoSpaceDN w:val="0"/>
        <w:spacing w:after="0" w:line="240" w:lineRule="auto"/>
        <w:jc w:val="both"/>
        <w:rPr>
          <w:rFonts w:ascii="Arial" w:hAnsi="Arial" w:cs="Arial"/>
        </w:rPr>
      </w:pPr>
      <w:r>
        <w:rPr>
          <w:rFonts w:ascii="Arial" w:hAnsi="Arial" w:cs="Arial"/>
        </w:rPr>
        <w:t>programmes in interventions for and prevention of child psychiatric disorders</w:t>
      </w:r>
    </w:p>
    <w:p w14:paraId="459C9911" w14:textId="77777777" w:rsidR="00AB5EA5" w:rsidRDefault="00AB5EA5" w:rsidP="00AB5EA5">
      <w:pPr>
        <w:pStyle w:val="ListParagraph"/>
        <w:numPr>
          <w:ilvl w:val="0"/>
          <w:numId w:val="37"/>
        </w:numPr>
        <w:suppressAutoHyphens/>
        <w:autoSpaceDN w:val="0"/>
        <w:spacing w:after="0" w:line="240" w:lineRule="auto"/>
        <w:jc w:val="both"/>
        <w:rPr>
          <w:rFonts w:ascii="Arial" w:hAnsi="Arial" w:cs="Arial"/>
        </w:rPr>
      </w:pPr>
      <w:r>
        <w:rPr>
          <w:rFonts w:ascii="Arial" w:hAnsi="Arial" w:cs="Arial"/>
        </w:rPr>
        <w:t>development of evaluations of child mental health services</w:t>
      </w:r>
    </w:p>
    <w:p w14:paraId="23A8F852" w14:textId="77777777" w:rsidR="00AB5EA5" w:rsidRDefault="00AB5EA5" w:rsidP="00AB5EA5">
      <w:pPr>
        <w:pStyle w:val="ListParagraph"/>
        <w:numPr>
          <w:ilvl w:val="0"/>
          <w:numId w:val="37"/>
        </w:numPr>
        <w:suppressAutoHyphens/>
        <w:autoSpaceDN w:val="0"/>
        <w:spacing w:after="0" w:line="240" w:lineRule="auto"/>
        <w:jc w:val="both"/>
        <w:rPr>
          <w:rFonts w:ascii="Arial" w:hAnsi="Arial" w:cs="Arial"/>
        </w:rPr>
      </w:pPr>
      <w:r>
        <w:rPr>
          <w:rFonts w:ascii="Arial" w:hAnsi="Arial" w:cs="Arial"/>
        </w:rPr>
        <w:t>multi-agency training in child mental health in primary care settings</w:t>
      </w:r>
    </w:p>
    <w:p w14:paraId="244B1EC8" w14:textId="77777777" w:rsidR="00AB5EA5" w:rsidRDefault="00AB5EA5" w:rsidP="00AB5EA5">
      <w:pPr>
        <w:pStyle w:val="ListParagraph"/>
        <w:numPr>
          <w:ilvl w:val="0"/>
          <w:numId w:val="37"/>
        </w:numPr>
        <w:suppressAutoHyphens/>
        <w:autoSpaceDN w:val="0"/>
        <w:spacing w:after="0" w:line="240" w:lineRule="auto"/>
        <w:jc w:val="both"/>
        <w:rPr>
          <w:rFonts w:ascii="Arial" w:hAnsi="Arial" w:cs="Arial"/>
        </w:rPr>
      </w:pPr>
      <w:r>
        <w:rPr>
          <w:rFonts w:ascii="Arial" w:hAnsi="Arial" w:cs="Arial"/>
        </w:rPr>
        <w:t xml:space="preserve">development and evaluation of the psychiatric components of undergraduate medical education </w:t>
      </w:r>
    </w:p>
    <w:p w14:paraId="70E8B2F3" w14:textId="77777777" w:rsidR="00AB5EA5" w:rsidRDefault="00AB5EA5" w:rsidP="00AB5EA5">
      <w:pPr>
        <w:rPr>
          <w:rFonts w:ascii="Arial" w:hAnsi="Arial" w:cs="Arial"/>
          <w:b/>
          <w:i/>
        </w:rPr>
      </w:pPr>
    </w:p>
    <w:p w14:paraId="2A25FB61" w14:textId="77777777" w:rsidR="00AB5EA5" w:rsidRDefault="00AB5EA5" w:rsidP="00AB5EA5">
      <w:pPr>
        <w:rPr>
          <w:rFonts w:ascii="Arial" w:hAnsi="Arial" w:cs="Arial"/>
          <w:b/>
          <w:i/>
        </w:rPr>
      </w:pPr>
      <w:r>
        <w:rPr>
          <w:rFonts w:ascii="Arial" w:hAnsi="Arial" w:cs="Arial"/>
          <w:b/>
          <w:i/>
        </w:rPr>
        <w:lastRenderedPageBreak/>
        <w:t xml:space="preserve">Psychiatry for the Elderly </w:t>
      </w:r>
    </w:p>
    <w:p w14:paraId="0E298FAF" w14:textId="77777777" w:rsidR="00AB5EA5" w:rsidRDefault="00AB5EA5" w:rsidP="00AB5EA5">
      <w:pPr>
        <w:spacing w:after="0" w:line="240" w:lineRule="auto"/>
        <w:rPr>
          <w:rFonts w:ascii="Arial" w:hAnsi="Arial" w:cs="Arial"/>
          <w:bCs/>
          <w:i/>
        </w:rPr>
      </w:pPr>
      <w:r>
        <w:rPr>
          <w:rFonts w:ascii="Arial" w:hAnsi="Arial" w:cs="Arial"/>
          <w:bCs/>
          <w:i/>
        </w:rPr>
        <w:t xml:space="preserve">Professor Elizabeta Mukaetova-Ladinska </w:t>
      </w:r>
    </w:p>
    <w:p w14:paraId="6B79DF13" w14:textId="77777777" w:rsidR="00AB5EA5" w:rsidRDefault="00AB5EA5" w:rsidP="00AB5EA5">
      <w:pPr>
        <w:spacing w:after="0" w:line="240" w:lineRule="auto"/>
        <w:rPr>
          <w:rFonts w:ascii="Arial" w:hAnsi="Arial" w:cs="Arial"/>
          <w:bCs/>
          <w:i/>
        </w:rPr>
      </w:pPr>
      <w:r>
        <w:rPr>
          <w:rFonts w:ascii="Arial" w:hAnsi="Arial" w:cs="Arial"/>
          <w:bCs/>
          <w:i/>
        </w:rPr>
        <w:t xml:space="preserve">Professor James Lindesay (Emeritus Professor) </w:t>
      </w:r>
    </w:p>
    <w:p w14:paraId="3D6FC614" w14:textId="77777777" w:rsidR="00AB5EA5" w:rsidRDefault="00AB5EA5" w:rsidP="00AB5EA5">
      <w:pPr>
        <w:spacing w:after="0" w:line="240" w:lineRule="auto"/>
        <w:rPr>
          <w:rFonts w:ascii="Arial" w:hAnsi="Arial" w:cs="Arial"/>
          <w:bCs/>
          <w:i/>
        </w:rPr>
      </w:pPr>
      <w:r>
        <w:rPr>
          <w:rFonts w:ascii="Arial" w:hAnsi="Arial" w:cs="Arial"/>
          <w:bCs/>
          <w:i/>
        </w:rPr>
        <w:t xml:space="preserve">Dr Hari Subramaniam (Honorary Senior Lecturer) </w:t>
      </w:r>
    </w:p>
    <w:p w14:paraId="040EAF95" w14:textId="77777777" w:rsidR="00AB5EA5" w:rsidRDefault="00AB5EA5" w:rsidP="00AB5EA5">
      <w:pPr>
        <w:spacing w:after="0" w:line="240" w:lineRule="auto"/>
        <w:rPr>
          <w:rFonts w:ascii="Arial" w:hAnsi="Arial" w:cs="Arial"/>
          <w:bCs/>
          <w:i/>
        </w:rPr>
      </w:pPr>
      <w:r>
        <w:rPr>
          <w:rFonts w:ascii="Arial" w:hAnsi="Arial" w:cs="Arial"/>
          <w:bCs/>
          <w:i/>
        </w:rPr>
        <w:t xml:space="preserve">MHSOP consultants and clinical trainees </w:t>
      </w:r>
    </w:p>
    <w:p w14:paraId="42729117" w14:textId="77777777" w:rsidR="00AB5EA5" w:rsidRDefault="00AB5EA5" w:rsidP="00AB5EA5">
      <w:pPr>
        <w:spacing w:after="0" w:line="240" w:lineRule="auto"/>
        <w:rPr>
          <w:rFonts w:ascii="Arial" w:hAnsi="Arial" w:cs="Arial"/>
          <w:bCs/>
          <w:i/>
        </w:rPr>
      </w:pPr>
    </w:p>
    <w:p w14:paraId="4034EE68" w14:textId="77777777" w:rsidR="00AB5EA5" w:rsidRDefault="00AB5EA5" w:rsidP="00AB5EA5">
      <w:pPr>
        <w:spacing w:after="0" w:line="240" w:lineRule="auto"/>
        <w:rPr>
          <w:rFonts w:ascii="Arial" w:hAnsi="Arial" w:cs="Arial"/>
          <w:bCs/>
          <w:iCs/>
        </w:rPr>
      </w:pPr>
      <w:r>
        <w:rPr>
          <w:rFonts w:ascii="Arial" w:hAnsi="Arial" w:cs="Arial"/>
          <w:bCs/>
          <w:iCs/>
        </w:rPr>
        <w:t>Interests:</w:t>
      </w:r>
    </w:p>
    <w:p w14:paraId="49AAD775"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Development and validation of culture fair cognitive tools;</w:t>
      </w:r>
    </w:p>
    <w:p w14:paraId="3A188EE0"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Multi-comorbidities among older people with dementia;</w:t>
      </w:r>
    </w:p>
    <w:p w14:paraId="5B2E0C61"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Older people use of psychotropics and metabolic syndrome;</w:t>
      </w:r>
    </w:p>
    <w:p w14:paraId="109DB963"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impairment post-COVID-19;</w:t>
      </w:r>
    </w:p>
    <w:p w14:paraId="0DDDBDC5"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profile of HIV encephalopathy.</w:t>
      </w:r>
    </w:p>
    <w:p w14:paraId="0EC5E7E4"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Peripheral biomarkers for dementia;</w:t>
      </w:r>
    </w:p>
    <w:p w14:paraId="595DC794"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Diagnosis and management of early onset dementias;</w:t>
      </w:r>
    </w:p>
    <w:p w14:paraId="7DBE69FB"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Successful ageing and resilience;</w:t>
      </w:r>
    </w:p>
    <w:p w14:paraId="0CF4ADA2" w14:textId="77777777" w:rsidR="00AB5EA5" w:rsidRDefault="00AB5EA5" w:rsidP="00AB5EA5">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Art therapy for dementia;</w:t>
      </w:r>
    </w:p>
    <w:p w14:paraId="21B5E59D" w14:textId="77777777" w:rsidR="00AB5EA5" w:rsidRDefault="00AB5EA5" w:rsidP="00AB5EA5">
      <w:pPr>
        <w:pStyle w:val="ListParagraph"/>
        <w:numPr>
          <w:ilvl w:val="0"/>
          <w:numId w:val="38"/>
        </w:numPr>
        <w:suppressAutoHyphens/>
        <w:autoSpaceDN w:val="0"/>
        <w:jc w:val="both"/>
        <w:rPr>
          <w:rFonts w:ascii="Arial" w:hAnsi="Arial" w:cs="Arial"/>
        </w:rPr>
      </w:pPr>
      <w:r>
        <w:rPr>
          <w:rFonts w:ascii="Arial" w:hAnsi="Arial" w:cs="Arial"/>
        </w:rPr>
        <w:t>Dementia Service development.</w:t>
      </w:r>
    </w:p>
    <w:p w14:paraId="5A366FA1" w14:textId="77777777" w:rsidR="00AB5EA5" w:rsidRDefault="00AB5EA5" w:rsidP="00AB5EA5">
      <w:pPr>
        <w:jc w:val="both"/>
        <w:rPr>
          <w:rFonts w:ascii="Arial" w:hAnsi="Arial" w:cs="Arial"/>
          <w:b/>
          <w:i/>
        </w:rPr>
      </w:pPr>
      <w:r>
        <w:rPr>
          <w:rFonts w:ascii="Arial" w:hAnsi="Arial" w:cs="Arial"/>
          <w:b/>
          <w:i/>
        </w:rPr>
        <w:t xml:space="preserve">Schizophrenia </w:t>
      </w:r>
    </w:p>
    <w:p w14:paraId="75656B25" w14:textId="77777777" w:rsidR="00AB5EA5" w:rsidRDefault="00AB5EA5" w:rsidP="00AB5EA5">
      <w:pPr>
        <w:spacing w:after="0" w:line="240" w:lineRule="auto"/>
        <w:jc w:val="both"/>
        <w:rPr>
          <w:rFonts w:ascii="Arial" w:hAnsi="Arial" w:cs="Arial"/>
          <w:bCs/>
          <w:i/>
          <w:iCs/>
        </w:rPr>
      </w:pPr>
      <w:r>
        <w:rPr>
          <w:rFonts w:ascii="Arial" w:hAnsi="Arial" w:cs="Arial"/>
          <w:bCs/>
          <w:i/>
          <w:iCs/>
        </w:rPr>
        <w:t xml:space="preserve">Professor Mohammed Al-Uzri (Honorary Professor) </w:t>
      </w:r>
    </w:p>
    <w:p w14:paraId="4ECC6DB7" w14:textId="77777777" w:rsidR="00AB5EA5" w:rsidRDefault="00AB5EA5" w:rsidP="00AB5EA5">
      <w:pPr>
        <w:spacing w:after="0" w:line="240" w:lineRule="auto"/>
        <w:jc w:val="both"/>
        <w:rPr>
          <w:rFonts w:ascii="Arial" w:hAnsi="Arial" w:cs="Arial"/>
          <w:bCs/>
          <w:i/>
          <w:iCs/>
        </w:rPr>
      </w:pPr>
      <w:r>
        <w:rPr>
          <w:rFonts w:ascii="Arial" w:hAnsi="Arial" w:cs="Arial"/>
          <w:bCs/>
          <w:i/>
          <w:iCs/>
        </w:rPr>
        <w:t>Professor Reveley (Emeritus Professor)</w:t>
      </w:r>
    </w:p>
    <w:p w14:paraId="1399E850" w14:textId="77777777" w:rsidR="00AB5EA5" w:rsidRDefault="00AB5EA5" w:rsidP="00AB5EA5">
      <w:pPr>
        <w:spacing w:after="0" w:line="240" w:lineRule="auto"/>
        <w:jc w:val="both"/>
        <w:rPr>
          <w:rFonts w:ascii="Arial" w:hAnsi="Arial" w:cs="Arial"/>
          <w:bCs/>
          <w:i/>
          <w:iCs/>
        </w:rPr>
      </w:pPr>
    </w:p>
    <w:p w14:paraId="12720EF2" w14:textId="77777777" w:rsidR="00AB5EA5" w:rsidRDefault="00AB5EA5" w:rsidP="00AB5EA5">
      <w:pPr>
        <w:spacing w:after="0" w:line="240" w:lineRule="auto"/>
        <w:jc w:val="both"/>
        <w:rPr>
          <w:rFonts w:ascii="Arial" w:hAnsi="Arial" w:cs="Arial"/>
          <w:bCs/>
        </w:rPr>
      </w:pPr>
      <w:r>
        <w:rPr>
          <w:rFonts w:ascii="Arial" w:hAnsi="Arial" w:cs="Arial"/>
          <w:bCs/>
        </w:rPr>
        <w:t>Interests:</w:t>
      </w:r>
    </w:p>
    <w:p w14:paraId="3CB41123" w14:textId="77777777" w:rsidR="00AB5EA5" w:rsidRDefault="00AB5EA5" w:rsidP="00AB5EA5">
      <w:pPr>
        <w:pStyle w:val="ListParagraph"/>
        <w:numPr>
          <w:ilvl w:val="0"/>
          <w:numId w:val="39"/>
        </w:numPr>
        <w:suppressAutoHyphens/>
        <w:autoSpaceDN w:val="0"/>
        <w:spacing w:after="0" w:line="240" w:lineRule="auto"/>
        <w:jc w:val="both"/>
        <w:rPr>
          <w:rFonts w:ascii="Arial" w:hAnsi="Arial" w:cs="Arial"/>
        </w:rPr>
      </w:pPr>
      <w:r>
        <w:rPr>
          <w:rFonts w:ascii="Arial" w:hAnsi="Arial" w:cs="Arial"/>
        </w:rPr>
        <w:t>neuropsychology, psychophysiology, and treatment of the psychoses and other neuropsychiatric disorders cognition;</w:t>
      </w:r>
    </w:p>
    <w:p w14:paraId="63024088" w14:textId="77777777" w:rsidR="00AB5EA5" w:rsidRDefault="00AB5EA5" w:rsidP="00AB5EA5">
      <w:pPr>
        <w:pStyle w:val="ListParagraph"/>
        <w:numPr>
          <w:ilvl w:val="0"/>
          <w:numId w:val="39"/>
        </w:numPr>
        <w:suppressAutoHyphens/>
        <w:autoSpaceDN w:val="0"/>
        <w:spacing w:after="0" w:line="240" w:lineRule="auto"/>
        <w:jc w:val="both"/>
        <w:rPr>
          <w:rFonts w:ascii="Arial" w:hAnsi="Arial" w:cs="Arial"/>
        </w:rPr>
      </w:pPr>
      <w:r>
        <w:rPr>
          <w:rFonts w:ascii="Arial" w:hAnsi="Arial" w:cs="Arial"/>
        </w:rPr>
        <w:t>eye movements in psychosis and neuropsychiatric disorders in collaboration with Ophthalmology and Psychology.</w:t>
      </w:r>
    </w:p>
    <w:p w14:paraId="687292EC" w14:textId="77777777" w:rsidR="00AB5EA5" w:rsidRDefault="00AB5EA5" w:rsidP="00AB5EA5">
      <w:pPr>
        <w:jc w:val="both"/>
        <w:rPr>
          <w:rFonts w:ascii="Arial" w:hAnsi="Arial" w:cs="Arial"/>
        </w:rPr>
      </w:pPr>
    </w:p>
    <w:p w14:paraId="0E7B48B2" w14:textId="77777777" w:rsidR="00AB5EA5" w:rsidRDefault="00AB5EA5" w:rsidP="00AB5EA5">
      <w:pPr>
        <w:jc w:val="both"/>
        <w:rPr>
          <w:rFonts w:ascii="Arial" w:hAnsi="Arial" w:cs="Arial"/>
        </w:rPr>
      </w:pPr>
      <w:r>
        <w:rPr>
          <w:rFonts w:ascii="Arial" w:hAnsi="Arial" w:cs="Arial"/>
        </w:rPr>
        <w:t xml:space="preserve">Most of the teaching and research accommodation is based at the George Davies Building on the main campus.  Academic staff are also based at the Glenfield Hospital Site.  </w:t>
      </w:r>
    </w:p>
    <w:p w14:paraId="2AA089CA" w14:textId="77777777" w:rsidR="00AB5EA5" w:rsidRDefault="00AB5EA5" w:rsidP="00AB5EA5">
      <w:pPr>
        <w:spacing w:after="0" w:line="240" w:lineRule="auto"/>
        <w:jc w:val="both"/>
        <w:rPr>
          <w:rFonts w:ascii="Arial" w:eastAsia="Times New Roman" w:hAnsi="Arial" w:cs="Arial"/>
        </w:rPr>
      </w:pPr>
      <w:r>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6BD2DBE7" w14:textId="77777777" w:rsidR="00AB5EA5" w:rsidRDefault="00AB5EA5" w:rsidP="00AB5EA5">
      <w:pPr>
        <w:spacing w:after="0" w:line="240" w:lineRule="auto"/>
        <w:ind w:left="720"/>
        <w:jc w:val="both"/>
        <w:rPr>
          <w:rFonts w:ascii="Arial" w:eastAsia="Times New Roman" w:hAnsi="Arial" w:cs="Arial"/>
        </w:rPr>
      </w:pPr>
    </w:p>
    <w:p w14:paraId="134B1EBD" w14:textId="77777777" w:rsidR="00AB5EA5" w:rsidRDefault="00AB5EA5" w:rsidP="00AB5EA5">
      <w:pPr>
        <w:spacing w:after="0" w:line="240" w:lineRule="auto"/>
        <w:jc w:val="both"/>
        <w:rPr>
          <w:rFonts w:ascii="Calibri" w:eastAsia="Calibri" w:hAnsi="Calibri" w:cs="Times New Roman"/>
        </w:rPr>
      </w:pPr>
      <w:r>
        <w:rPr>
          <w:rFonts w:ascii="Arial" w:hAnsi="Arial" w:cs="Arial"/>
        </w:rPr>
        <w:t>In addition, the School of Psychology &amp; Vision Sciences</w:t>
      </w:r>
      <w:r>
        <w:rPr>
          <w:rFonts w:ascii="Arial" w:hAnsi="Arial" w:cs="Arial"/>
          <w:b/>
        </w:rPr>
        <w:t xml:space="preserve"> </w:t>
      </w:r>
      <w:r>
        <w:rPr>
          <w:rStyle w:val="Hyperlink"/>
          <w:rFonts w:ascii="Arial" w:hAnsi="Arial" w:cs="Arial"/>
          <w:lang w:val="en-US"/>
        </w:rPr>
        <w:t>https://le.ac.uk/npb</w:t>
      </w:r>
      <w:r>
        <w:rPr>
          <w:rFonts w:ascii="Arial" w:hAnsi="Arial" w:cs="Arial"/>
          <w:b/>
          <w:lang w:val="en-US"/>
        </w:rPr>
        <w:t xml:space="preserve"> </w:t>
      </w:r>
      <w:r>
        <w:rPr>
          <w:rFonts w:ascii="Arial" w:hAnsi="Arial" w:cs="Arial"/>
          <w:lang w:val="en-US"/>
        </w:rPr>
        <w:t xml:space="preserve">comprises two interdisciplinary research groups in the areas of human health and well-being (including ageing) and vision science. </w:t>
      </w:r>
    </w:p>
    <w:p w14:paraId="43E6E8D7" w14:textId="77777777" w:rsidR="00AB5EA5" w:rsidRDefault="00AB5EA5" w:rsidP="00AB5EA5">
      <w:pPr>
        <w:spacing w:after="0" w:line="240" w:lineRule="auto"/>
        <w:jc w:val="both"/>
        <w:rPr>
          <w:rFonts w:ascii="Arial" w:hAnsi="Arial" w:cs="Arial"/>
        </w:rPr>
      </w:pPr>
    </w:p>
    <w:p w14:paraId="0C7F5215" w14:textId="77777777" w:rsidR="00AB5EA5" w:rsidRDefault="00AB5EA5" w:rsidP="00AB5EA5">
      <w:pPr>
        <w:spacing w:after="0" w:line="240" w:lineRule="auto"/>
        <w:jc w:val="both"/>
        <w:rPr>
          <w:rFonts w:ascii="Arial" w:hAnsi="Arial" w:cs="Arial"/>
          <w:lang w:val="en-US"/>
        </w:rPr>
      </w:pPr>
      <w:r>
        <w:rPr>
          <w:rFonts w:ascii="Arial" w:hAnsi="Arial" w:cs="Arial"/>
          <w:lang w:val="en-US"/>
        </w:rPr>
        <w:t>Research undertaken aims to align with research priorities in human health and can interface with biomedical research departments within the University’s College of Life Sciences and frontline clinicians in the NHS. There are key interactions with clinical departments and health services, including ENT, Ophthalmology, Neurology, Geriatrics and Psychiatry, a broad interest in human ageing, and collaborations within and beyond Leicester concerning human vision and physical and mental health.</w:t>
      </w:r>
    </w:p>
    <w:p w14:paraId="0B7C982B" w14:textId="77777777" w:rsidR="00AB5EA5" w:rsidRDefault="00AB5EA5" w:rsidP="00AB5EA5">
      <w:pPr>
        <w:spacing w:after="0" w:line="240" w:lineRule="auto"/>
        <w:jc w:val="both"/>
        <w:rPr>
          <w:rFonts w:ascii="Arial" w:hAnsi="Arial" w:cs="Arial"/>
          <w:lang w:val="en-US"/>
        </w:rPr>
      </w:pPr>
      <w:r>
        <w:rPr>
          <w:rFonts w:ascii="Arial" w:hAnsi="Arial" w:cs="Arial"/>
          <w:lang w:val="en-US"/>
        </w:rPr>
        <w:t xml:space="preserve">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harmonising data from 12 birth cohorts to identify health and economic inequalities, decision-making in anti-biotic prescribing, and using well-being to improve the personal care </w:t>
      </w:r>
      <w:r>
        <w:rPr>
          <w:rFonts w:ascii="Arial" w:hAnsi="Arial" w:cs="Arial"/>
          <w:lang w:val="en-US"/>
        </w:rPr>
        <w:lastRenderedPageBreak/>
        <w:t>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45E6675D" w14:textId="77777777" w:rsidR="00AB5EA5" w:rsidRDefault="00AB5EA5" w:rsidP="00AB5EA5">
      <w:pPr>
        <w:spacing w:after="0" w:line="240" w:lineRule="auto"/>
        <w:jc w:val="both"/>
        <w:rPr>
          <w:rFonts w:ascii="Arial" w:hAnsi="Arial" w:cs="Arial"/>
          <w:lang w:val="en-US"/>
        </w:rPr>
      </w:pPr>
    </w:p>
    <w:p w14:paraId="3318280A" w14:textId="77777777" w:rsidR="00AB5EA5" w:rsidRDefault="00AB5EA5" w:rsidP="00AB5EA5">
      <w:pPr>
        <w:spacing w:after="0" w:line="240" w:lineRule="auto"/>
        <w:jc w:val="both"/>
        <w:rPr>
          <w:rFonts w:ascii="Calibri" w:hAnsi="Calibri" w:cs="Times New Roman"/>
        </w:rPr>
      </w:pPr>
      <w:r>
        <w:rPr>
          <w:rFonts w:ascii="Arial" w:hAnsi="Arial" w:cs="Arial"/>
          <w:lang w:val="en-US"/>
        </w:rPr>
        <w:t>The University has received recent substantial research funding through NIHR, UK Research Councils (BBSRC, ESRC, MRC) and charities (e.g., Leverhulme Trust, Fight for Sight), as well as funding through Innovate UK to support knowledge exchange and training.</w:t>
      </w:r>
    </w:p>
    <w:p w14:paraId="40C4C586" w14:textId="77777777" w:rsidR="00AB5EA5" w:rsidRDefault="00AB5EA5" w:rsidP="00AB5EA5">
      <w:pPr>
        <w:rPr>
          <w:rFonts w:ascii="Arial" w:hAnsi="Arial" w:cs="Arial"/>
          <w:b/>
        </w:rPr>
      </w:pPr>
    </w:p>
    <w:p w14:paraId="57DA80DE" w14:textId="77777777" w:rsidR="00AB5EA5" w:rsidRDefault="00AB5EA5" w:rsidP="00AB5EA5">
      <w:pPr>
        <w:rPr>
          <w:rFonts w:ascii="Arial" w:hAnsi="Arial" w:cs="Arial"/>
          <w:b/>
        </w:rPr>
      </w:pPr>
      <w:r>
        <w:rPr>
          <w:rFonts w:ascii="Arial" w:hAnsi="Arial" w:cs="Arial"/>
          <w:b/>
        </w:rPr>
        <w:t xml:space="preserve">The Stoneygate Centre for Excellence in Empathic Healthcare </w:t>
      </w:r>
    </w:p>
    <w:p w14:paraId="748EA0A8" w14:textId="77777777" w:rsidR="00AB5EA5" w:rsidRDefault="00AB5EA5" w:rsidP="00AB5EA5">
      <w:pPr>
        <w:pStyle w:val="Default"/>
        <w:jc w:val="both"/>
        <w:rPr>
          <w:rFonts w:ascii="Arial" w:hAnsi="Arial" w:cs="Arial"/>
          <w:b/>
          <w:bCs/>
          <w:i/>
          <w:iCs/>
          <w:sz w:val="22"/>
          <w:szCs w:val="22"/>
        </w:rPr>
      </w:pPr>
      <w:r>
        <w:rPr>
          <w:rFonts w:ascii="Arial" w:hAnsi="Arial" w:cs="Arial"/>
          <w:b/>
          <w:bCs/>
          <w:i/>
          <w:iCs/>
          <w:sz w:val="22"/>
          <w:szCs w:val="22"/>
        </w:rPr>
        <w:t xml:space="preserve">Training Development Lead: </w:t>
      </w:r>
    </w:p>
    <w:p w14:paraId="1EB64F55" w14:textId="77777777" w:rsidR="00AB5EA5" w:rsidRDefault="00AB5EA5" w:rsidP="00AB5EA5">
      <w:pPr>
        <w:pStyle w:val="Default"/>
        <w:jc w:val="both"/>
        <w:rPr>
          <w:rFonts w:ascii="Arial" w:hAnsi="Arial" w:cs="Arial"/>
          <w:i/>
          <w:iCs/>
          <w:sz w:val="22"/>
          <w:szCs w:val="22"/>
        </w:rPr>
      </w:pPr>
      <w:r>
        <w:rPr>
          <w:rFonts w:ascii="Arial" w:hAnsi="Arial" w:cs="Arial"/>
          <w:i/>
          <w:iCs/>
          <w:sz w:val="22"/>
          <w:szCs w:val="22"/>
        </w:rPr>
        <w:t>Dr Rachel Winter (Associate Professor and Honorary Consultant in Old Age Psychiatry)</w:t>
      </w:r>
    </w:p>
    <w:p w14:paraId="530E44EC" w14:textId="77777777" w:rsidR="00AB5EA5" w:rsidRDefault="00AB5EA5" w:rsidP="00AB5EA5">
      <w:pPr>
        <w:pStyle w:val="Default"/>
        <w:jc w:val="both"/>
        <w:rPr>
          <w:rFonts w:ascii="Arial" w:hAnsi="Arial" w:cs="Arial"/>
          <w:sz w:val="22"/>
          <w:szCs w:val="22"/>
        </w:rPr>
      </w:pPr>
    </w:p>
    <w:tbl>
      <w:tblPr>
        <w:tblW w:w="9750" w:type="dxa"/>
        <w:tblInd w:w="-108" w:type="dxa"/>
        <w:tblLayout w:type="fixed"/>
        <w:tblCellMar>
          <w:left w:w="10" w:type="dxa"/>
          <w:right w:w="10" w:type="dxa"/>
        </w:tblCellMar>
        <w:tblLook w:val="04A0" w:firstRow="1" w:lastRow="0" w:firstColumn="1" w:lastColumn="0" w:noHBand="0" w:noVBand="1"/>
      </w:tblPr>
      <w:tblGrid>
        <w:gridCol w:w="9750"/>
      </w:tblGrid>
      <w:tr w:rsidR="00AB5EA5" w14:paraId="09FBCDF5" w14:textId="77777777" w:rsidTr="00612CCD">
        <w:trPr>
          <w:trHeight w:val="3184"/>
        </w:trPr>
        <w:tc>
          <w:tcPr>
            <w:tcW w:w="97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576F1CA" w14:textId="77777777" w:rsidR="00AB5EA5" w:rsidRDefault="00AB5EA5" w:rsidP="00612CCD">
            <w:pPr>
              <w:pStyle w:val="Default"/>
              <w:spacing w:line="252" w:lineRule="auto"/>
              <w:jc w:val="both"/>
              <w:rPr>
                <w:rFonts w:ascii="Arial" w:hAnsi="Arial" w:cs="Arial"/>
                <w:kern w:val="3"/>
                <w:sz w:val="22"/>
                <w:szCs w:val="22"/>
              </w:rPr>
            </w:pPr>
            <w:r>
              <w:rPr>
                <w:rFonts w:ascii="Arial" w:hAnsi="Arial" w:cs="Arial"/>
                <w:kern w:val="3"/>
                <w:sz w:val="22"/>
                <w:szCs w:val="22"/>
              </w:rPr>
              <w:t xml:space="preserve">The Stoneygate Trust and University of Leicester have combined to create a pioneering new Stoneygate Centre for Excellence in Empathic Healthcare. </w:t>
            </w:r>
          </w:p>
          <w:p w14:paraId="1F26CD58" w14:textId="77777777" w:rsidR="00AB5EA5" w:rsidRDefault="00AB5EA5" w:rsidP="00612CCD">
            <w:pPr>
              <w:pStyle w:val="Default"/>
              <w:spacing w:line="252" w:lineRule="auto"/>
              <w:jc w:val="both"/>
              <w:rPr>
                <w:rFonts w:ascii="Arial" w:hAnsi="Arial" w:cs="Arial"/>
                <w:kern w:val="3"/>
                <w:sz w:val="22"/>
                <w:szCs w:val="22"/>
              </w:rPr>
            </w:pPr>
          </w:p>
          <w:p w14:paraId="2EA05F38" w14:textId="77777777" w:rsidR="00AB5EA5" w:rsidRDefault="00AB5EA5" w:rsidP="00612CCD">
            <w:pPr>
              <w:pStyle w:val="Default"/>
              <w:spacing w:line="252" w:lineRule="auto"/>
              <w:jc w:val="both"/>
              <w:rPr>
                <w:rFonts w:ascii="Arial" w:hAnsi="Arial" w:cs="Arial"/>
                <w:kern w:val="3"/>
                <w:sz w:val="22"/>
                <w:szCs w:val="22"/>
              </w:rPr>
            </w:pPr>
            <w:r>
              <w:rPr>
                <w:rFonts w:ascii="Arial" w:hAnsi="Arial" w:cs="Arial"/>
                <w:kern w:val="3"/>
                <w:sz w:val="22"/>
                <w:szCs w:val="22"/>
              </w:rPr>
              <w:t xml:space="preserve">This unique £10m Centre, co-funded by the University and a philanthropic gift from The Stoneygate Trust, will ensure that medical students and healthcare professionals across the UK are taught about the vital importance of empathy as an integral part of all aspects of their medical training. As part of its work, the new Centre will develop and deliver empathy-focused training for undergraduate and postgraduate healthcare students and professionals in Leicester, with the aim of making this available nationally </w:t>
            </w:r>
          </w:p>
          <w:p w14:paraId="5971AE4D" w14:textId="77777777" w:rsidR="00AB5EA5" w:rsidRDefault="00AB5EA5" w:rsidP="00612CCD">
            <w:pPr>
              <w:pStyle w:val="Default"/>
              <w:spacing w:line="252" w:lineRule="auto"/>
              <w:jc w:val="both"/>
              <w:rPr>
                <w:rFonts w:ascii="Arial" w:hAnsi="Arial" w:cs="Arial"/>
                <w:kern w:val="3"/>
                <w:sz w:val="22"/>
                <w:szCs w:val="22"/>
              </w:rPr>
            </w:pPr>
          </w:p>
          <w:p w14:paraId="79389A55" w14:textId="77777777" w:rsidR="00AB5EA5" w:rsidRDefault="00AB5EA5" w:rsidP="00612CCD">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focus on empathy at all stages in medical training including for example, developing and refining recruitment selection criteria to proactively assess students’ aptitude for empathy when they apply for healthcare degree programmes. It will also further develop complementary outreach programmes to continue to widen access for underrepresented groups to all areas of health and social care education. </w:t>
            </w:r>
          </w:p>
          <w:p w14:paraId="0B85B155" w14:textId="77777777" w:rsidR="00AB5EA5" w:rsidRDefault="00AB5EA5" w:rsidP="00612CCD">
            <w:pPr>
              <w:pStyle w:val="Default"/>
              <w:spacing w:line="252" w:lineRule="auto"/>
              <w:jc w:val="both"/>
              <w:rPr>
                <w:rFonts w:ascii="Arial" w:hAnsi="Arial" w:cs="Arial"/>
                <w:kern w:val="3"/>
                <w:sz w:val="22"/>
                <w:szCs w:val="22"/>
              </w:rPr>
            </w:pPr>
          </w:p>
          <w:p w14:paraId="22F0C67F" w14:textId="77777777" w:rsidR="00AB5EA5" w:rsidRDefault="00AB5EA5" w:rsidP="00612CCD">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undertake pioneering research into the impact of empathic care on both patients and practitioners, and campaign for empathy to be placed at the heart of the healthcare system. </w:t>
            </w:r>
          </w:p>
        </w:tc>
      </w:tr>
    </w:tbl>
    <w:p w14:paraId="1C18DEFD" w14:textId="77777777" w:rsidR="00AB5EA5" w:rsidRDefault="00AB5EA5" w:rsidP="00AB5EA5">
      <w:pPr>
        <w:spacing w:line="240" w:lineRule="auto"/>
        <w:jc w:val="both"/>
        <w:rPr>
          <w:rFonts w:ascii="Arial" w:hAnsi="Arial" w:cs="Arial"/>
        </w:rPr>
      </w:pPr>
    </w:p>
    <w:p w14:paraId="012F3F1F" w14:textId="77777777" w:rsidR="00AB5EA5" w:rsidRDefault="00AB5EA5" w:rsidP="00AB5EA5">
      <w:pPr>
        <w:spacing w:line="240" w:lineRule="auto"/>
        <w:jc w:val="both"/>
        <w:rPr>
          <w:rFonts w:ascii="Arial" w:hAnsi="Arial" w:cs="Arial"/>
          <w:b/>
          <w:bCs/>
        </w:rPr>
      </w:pPr>
      <w:r>
        <w:rPr>
          <w:rFonts w:ascii="Arial" w:hAnsi="Arial" w:cs="Arial"/>
          <w:b/>
          <w:bCs/>
        </w:rPr>
        <w:t>Teaching</w:t>
      </w:r>
    </w:p>
    <w:p w14:paraId="0C952603" w14:textId="77777777" w:rsidR="00AB5EA5" w:rsidRDefault="00AB5EA5" w:rsidP="00AB5EA5">
      <w:pPr>
        <w:spacing w:line="240" w:lineRule="auto"/>
        <w:jc w:val="both"/>
        <w:rPr>
          <w:rFonts w:ascii="Arial" w:hAnsi="Arial" w:cs="Arial"/>
        </w:rPr>
      </w:pPr>
      <w:r>
        <w:rPr>
          <w:rFonts w:ascii="Arial" w:hAnsi="Arial" w:cs="Arial"/>
        </w:rPr>
        <w:t>The principal psychiatry 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50DFF8D6" w14:textId="77777777" w:rsidR="00AB5EA5" w:rsidRDefault="00AB5EA5" w:rsidP="00AB5EA5">
      <w:pPr>
        <w:spacing w:line="240" w:lineRule="auto"/>
        <w:jc w:val="both"/>
        <w:rPr>
          <w:rFonts w:ascii="Arial" w:hAnsi="Arial" w:cs="Arial"/>
        </w:rPr>
      </w:pPr>
      <w:r>
        <w:rPr>
          <w:rFonts w:ascii="Arial" w:hAnsi="Arial" w:cs="Arial"/>
        </w:rPr>
        <w:t>There are also contributions to teaching at MSc, MD and PhD levels.</w:t>
      </w:r>
    </w:p>
    <w:p w14:paraId="49EBC03A" w14:textId="77777777" w:rsidR="005B378A" w:rsidRDefault="005B378A" w:rsidP="009753C4">
      <w:pPr>
        <w:spacing w:after="0" w:line="240" w:lineRule="auto"/>
        <w:jc w:val="center"/>
        <w:rPr>
          <w:rFonts w:ascii="Arial" w:eastAsia="Times New Roman" w:hAnsi="Arial" w:cs="Arial"/>
          <w:b/>
          <w:sz w:val="32"/>
          <w:szCs w:val="32"/>
          <w:lang w:eastAsia="en-GB"/>
        </w:rPr>
      </w:pPr>
    </w:p>
    <w:sectPr w:rsidR="005B378A" w:rsidSect="00AF68B3">
      <w:headerReference w:type="default" r:id="rId24"/>
      <w:footerReference w:type="default" r:id="rId25"/>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8F88" w14:textId="77777777" w:rsidR="003045C0" w:rsidRDefault="003045C0" w:rsidP="00BD05EC">
      <w:pPr>
        <w:spacing w:after="0" w:line="240" w:lineRule="auto"/>
      </w:pPr>
      <w:r>
        <w:separator/>
      </w:r>
    </w:p>
  </w:endnote>
  <w:endnote w:type="continuationSeparator" w:id="0">
    <w:p w14:paraId="01977BB3" w14:textId="77777777" w:rsidR="003045C0" w:rsidRDefault="003045C0"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8130" w14:textId="77777777" w:rsidR="003045C0" w:rsidRDefault="003045C0" w:rsidP="00BD05EC">
      <w:pPr>
        <w:spacing w:after="0" w:line="240" w:lineRule="auto"/>
      </w:pPr>
      <w:r>
        <w:separator/>
      </w:r>
    </w:p>
  </w:footnote>
  <w:footnote w:type="continuationSeparator" w:id="0">
    <w:p w14:paraId="0060AEDF" w14:textId="77777777" w:rsidR="003045C0" w:rsidRDefault="003045C0"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77A4B56"/>
    <w:multiLevelType w:val="hybridMultilevel"/>
    <w:tmpl w:val="A85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F13467C"/>
    <w:multiLevelType w:val="hybridMultilevel"/>
    <w:tmpl w:val="A4DA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127735">
    <w:abstractNumId w:val="5"/>
  </w:num>
  <w:num w:numId="2" w16cid:durableId="844173527">
    <w:abstractNumId w:val="14"/>
  </w:num>
  <w:num w:numId="3" w16cid:durableId="1513717143">
    <w:abstractNumId w:val="8"/>
  </w:num>
  <w:num w:numId="4" w16cid:durableId="1844197765">
    <w:abstractNumId w:val="18"/>
  </w:num>
  <w:num w:numId="5" w16cid:durableId="2020085042">
    <w:abstractNumId w:val="6"/>
  </w:num>
  <w:num w:numId="6" w16cid:durableId="454443783">
    <w:abstractNumId w:val="17"/>
  </w:num>
  <w:num w:numId="7" w16cid:durableId="564418008">
    <w:abstractNumId w:val="3"/>
  </w:num>
  <w:num w:numId="8" w16cid:durableId="209850578">
    <w:abstractNumId w:val="28"/>
  </w:num>
  <w:num w:numId="9" w16cid:durableId="1402025845">
    <w:abstractNumId w:val="31"/>
  </w:num>
  <w:num w:numId="10" w16cid:durableId="1473862529">
    <w:abstractNumId w:val="23"/>
  </w:num>
  <w:num w:numId="11" w16cid:durableId="430852956">
    <w:abstractNumId w:val="10"/>
  </w:num>
  <w:num w:numId="12" w16cid:durableId="1126005002">
    <w:abstractNumId w:val="30"/>
  </w:num>
  <w:num w:numId="13" w16cid:durableId="535431560">
    <w:abstractNumId w:val="29"/>
  </w:num>
  <w:num w:numId="14" w16cid:durableId="658077183">
    <w:abstractNumId w:val="16"/>
  </w:num>
  <w:num w:numId="15" w16cid:durableId="308361881">
    <w:abstractNumId w:val="12"/>
  </w:num>
  <w:num w:numId="16" w16cid:durableId="219903209">
    <w:abstractNumId w:val="15"/>
  </w:num>
  <w:num w:numId="17" w16cid:durableId="1706826265">
    <w:abstractNumId w:val="24"/>
  </w:num>
  <w:num w:numId="18" w16cid:durableId="752167775">
    <w:abstractNumId w:val="24"/>
  </w:num>
  <w:num w:numId="19" w16cid:durableId="15524983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3830658">
    <w:abstractNumId w:val="16"/>
  </w:num>
  <w:num w:numId="21" w16cid:durableId="303462698">
    <w:abstractNumId w:val="30"/>
  </w:num>
  <w:num w:numId="22" w16cid:durableId="1906067864">
    <w:abstractNumId w:val="31"/>
  </w:num>
  <w:num w:numId="23" w16cid:durableId="717164053">
    <w:abstractNumId w:val="23"/>
  </w:num>
  <w:num w:numId="24" w16cid:durableId="679477483">
    <w:abstractNumId w:val="29"/>
  </w:num>
  <w:num w:numId="25" w16cid:durableId="341932924">
    <w:abstractNumId w:val="21"/>
  </w:num>
  <w:num w:numId="26" w16cid:durableId="1563175341">
    <w:abstractNumId w:val="9"/>
  </w:num>
  <w:num w:numId="27" w16cid:durableId="1794253433">
    <w:abstractNumId w:val="1"/>
  </w:num>
  <w:num w:numId="28" w16cid:durableId="1772511547">
    <w:abstractNumId w:val="13"/>
  </w:num>
  <w:num w:numId="29" w16cid:durableId="1493445712">
    <w:abstractNumId w:val="4"/>
  </w:num>
  <w:num w:numId="30" w16cid:durableId="711266168">
    <w:abstractNumId w:val="20"/>
  </w:num>
  <w:num w:numId="31" w16cid:durableId="2095390125">
    <w:abstractNumId w:val="11"/>
  </w:num>
  <w:num w:numId="32" w16cid:durableId="1775856205">
    <w:abstractNumId w:val="0"/>
  </w:num>
  <w:num w:numId="33" w16cid:durableId="671880291">
    <w:abstractNumId w:val="22"/>
  </w:num>
  <w:num w:numId="34" w16cid:durableId="2080250671">
    <w:abstractNumId w:val="33"/>
  </w:num>
  <w:num w:numId="35" w16cid:durableId="1139764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057483">
    <w:abstractNumId w:val="26"/>
  </w:num>
  <w:num w:numId="37" w16cid:durableId="1738935211">
    <w:abstractNumId w:val="2"/>
  </w:num>
  <w:num w:numId="38" w16cid:durableId="1439718853">
    <w:abstractNumId w:val="32"/>
  </w:num>
  <w:num w:numId="39" w16cid:durableId="530842666">
    <w:abstractNumId w:val="19"/>
  </w:num>
  <w:num w:numId="40" w16cid:durableId="346293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22CC"/>
    <w:rsid w:val="00014D2E"/>
    <w:rsid w:val="000328D1"/>
    <w:rsid w:val="00063F93"/>
    <w:rsid w:val="00082211"/>
    <w:rsid w:val="0009501D"/>
    <w:rsid w:val="00096468"/>
    <w:rsid w:val="000A563E"/>
    <w:rsid w:val="000B171B"/>
    <w:rsid w:val="000C115D"/>
    <w:rsid w:val="000E1E72"/>
    <w:rsid w:val="00117AA2"/>
    <w:rsid w:val="0012008E"/>
    <w:rsid w:val="001270A0"/>
    <w:rsid w:val="00176A21"/>
    <w:rsid w:val="0018049A"/>
    <w:rsid w:val="001811E2"/>
    <w:rsid w:val="00187673"/>
    <w:rsid w:val="001A1669"/>
    <w:rsid w:val="001A2A26"/>
    <w:rsid w:val="001D78F1"/>
    <w:rsid w:val="002129DD"/>
    <w:rsid w:val="00212B25"/>
    <w:rsid w:val="00220F62"/>
    <w:rsid w:val="00271210"/>
    <w:rsid w:val="00295E77"/>
    <w:rsid w:val="002D056E"/>
    <w:rsid w:val="002E1C7C"/>
    <w:rsid w:val="002F3A0F"/>
    <w:rsid w:val="003045C0"/>
    <w:rsid w:val="003265B8"/>
    <w:rsid w:val="00326BAB"/>
    <w:rsid w:val="003522B5"/>
    <w:rsid w:val="00363560"/>
    <w:rsid w:val="003650A7"/>
    <w:rsid w:val="00374C5F"/>
    <w:rsid w:val="00392F0A"/>
    <w:rsid w:val="003B554F"/>
    <w:rsid w:val="003C7528"/>
    <w:rsid w:val="004331B3"/>
    <w:rsid w:val="00440A84"/>
    <w:rsid w:val="00453750"/>
    <w:rsid w:val="0047794D"/>
    <w:rsid w:val="004945BD"/>
    <w:rsid w:val="004C16D8"/>
    <w:rsid w:val="004C725C"/>
    <w:rsid w:val="004F2281"/>
    <w:rsid w:val="00500EE3"/>
    <w:rsid w:val="005371A9"/>
    <w:rsid w:val="005457FE"/>
    <w:rsid w:val="00562AF3"/>
    <w:rsid w:val="005762E7"/>
    <w:rsid w:val="00587699"/>
    <w:rsid w:val="00593134"/>
    <w:rsid w:val="00595F31"/>
    <w:rsid w:val="00596E9D"/>
    <w:rsid w:val="005A6826"/>
    <w:rsid w:val="005B378A"/>
    <w:rsid w:val="005C074B"/>
    <w:rsid w:val="005D65D8"/>
    <w:rsid w:val="005E3F8D"/>
    <w:rsid w:val="005E63E6"/>
    <w:rsid w:val="005F7347"/>
    <w:rsid w:val="006332C6"/>
    <w:rsid w:val="00656023"/>
    <w:rsid w:val="006A3941"/>
    <w:rsid w:val="006B1A29"/>
    <w:rsid w:val="006D440C"/>
    <w:rsid w:val="006E4AE5"/>
    <w:rsid w:val="006F106E"/>
    <w:rsid w:val="00732570"/>
    <w:rsid w:val="007825C8"/>
    <w:rsid w:val="007A2D9D"/>
    <w:rsid w:val="007A3B7D"/>
    <w:rsid w:val="007D28AF"/>
    <w:rsid w:val="00807455"/>
    <w:rsid w:val="008318D1"/>
    <w:rsid w:val="008835AA"/>
    <w:rsid w:val="008864E2"/>
    <w:rsid w:val="0089259F"/>
    <w:rsid w:val="008A62B8"/>
    <w:rsid w:val="008B2523"/>
    <w:rsid w:val="008B31CE"/>
    <w:rsid w:val="008E1D15"/>
    <w:rsid w:val="008E3E04"/>
    <w:rsid w:val="008F126E"/>
    <w:rsid w:val="008F24B9"/>
    <w:rsid w:val="008F6AAA"/>
    <w:rsid w:val="00915B4B"/>
    <w:rsid w:val="0092726F"/>
    <w:rsid w:val="0094213E"/>
    <w:rsid w:val="009753C4"/>
    <w:rsid w:val="00976E04"/>
    <w:rsid w:val="00993F76"/>
    <w:rsid w:val="009A68BF"/>
    <w:rsid w:val="00A15F2F"/>
    <w:rsid w:val="00A169C1"/>
    <w:rsid w:val="00A23E7A"/>
    <w:rsid w:val="00A26547"/>
    <w:rsid w:val="00A40423"/>
    <w:rsid w:val="00A47CEE"/>
    <w:rsid w:val="00A730DF"/>
    <w:rsid w:val="00AB48A7"/>
    <w:rsid w:val="00AB5EA5"/>
    <w:rsid w:val="00AF68B3"/>
    <w:rsid w:val="00B76DF3"/>
    <w:rsid w:val="00B87319"/>
    <w:rsid w:val="00BA1602"/>
    <w:rsid w:val="00BA63A8"/>
    <w:rsid w:val="00BD05EC"/>
    <w:rsid w:val="00BF6EEB"/>
    <w:rsid w:val="00C15CF8"/>
    <w:rsid w:val="00C2558D"/>
    <w:rsid w:val="00C4756B"/>
    <w:rsid w:val="00C4793C"/>
    <w:rsid w:val="00C67A08"/>
    <w:rsid w:val="00CD0B7F"/>
    <w:rsid w:val="00CE519F"/>
    <w:rsid w:val="00CF7578"/>
    <w:rsid w:val="00D36CC6"/>
    <w:rsid w:val="00D378CD"/>
    <w:rsid w:val="00D42A11"/>
    <w:rsid w:val="00D46C4E"/>
    <w:rsid w:val="00D85BA1"/>
    <w:rsid w:val="00DA0838"/>
    <w:rsid w:val="00DE1097"/>
    <w:rsid w:val="00DE53ED"/>
    <w:rsid w:val="00DF0AB6"/>
    <w:rsid w:val="00E15637"/>
    <w:rsid w:val="00E16462"/>
    <w:rsid w:val="00E4639C"/>
    <w:rsid w:val="00E47E21"/>
    <w:rsid w:val="00E51887"/>
    <w:rsid w:val="00E57E7B"/>
    <w:rsid w:val="00E730AD"/>
    <w:rsid w:val="00EC0D89"/>
    <w:rsid w:val="00EC1E58"/>
    <w:rsid w:val="00EF0D1E"/>
    <w:rsid w:val="00F5259F"/>
    <w:rsid w:val="00F9363C"/>
    <w:rsid w:val="00FD4A37"/>
    <w:rsid w:val="00FE1B78"/>
    <w:rsid w:val="00FF01D4"/>
    <w:rsid w:val="00FF33D7"/>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1"/>
    <w:locked/>
    <w:rsid w:val="0009501D"/>
  </w:style>
  <w:style w:type="paragraph" w:customStyle="1" w:styleId="HRNormal">
    <w:name w:val="HR Normal"/>
    <w:basedOn w:val="Normal"/>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nhideWhenUsed/>
    <w:rsid w:val="006B1A29"/>
    <w:pPr>
      <w:spacing w:line="240" w:lineRule="auto"/>
    </w:pPr>
    <w:rPr>
      <w:sz w:val="20"/>
      <w:szCs w:val="20"/>
    </w:rPr>
  </w:style>
  <w:style w:type="character" w:customStyle="1" w:styleId="CommentTextChar">
    <w:name w:val="Comment Text Char"/>
    <w:basedOn w:val="DefaultParagraphFont"/>
    <w:link w:val="CommentText"/>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DE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888417848">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mailto:Mark.McConnochie@nhs.net" TargetMode="External" /><Relationship Id="rId18" Type="http://schemas.openxmlformats.org/officeDocument/2006/relationships/image" Target="media/image10.png"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image" Target="media/image9.png" /><Relationship Id="rId25"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8.png" /><Relationship Id="rId20" Type="http://schemas.openxmlformats.org/officeDocument/2006/relationships/image" Target="media/image12.png"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image" Target="media/image11.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hyperlink" Target="#" TargetMode="External" /><Relationship Id="rId27"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9065</Words>
  <Characters>51675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3</cp:revision>
  <cp:lastPrinted>2017-02-20T12:35:00Z</cp:lastPrinted>
  <dcterms:created xsi:type="dcterms:W3CDTF">2026-01-07T11:03:00Z</dcterms:created>
  <dcterms:modified xsi:type="dcterms:W3CDTF">2026-01-07T11:05:00Z</dcterms:modified>
</cp:coreProperties>
</file>